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520" w:lineRule="exact"/>
        <w:jc w:val="center"/>
        <w:rPr>
          <w:rFonts w:eastAsia="方正小标宋简体"/>
          <w:color w:val="000000"/>
          <w:kern w:val="0"/>
          <w:sz w:val="40"/>
          <w:szCs w:val="40"/>
        </w:rPr>
      </w:pPr>
      <w:r>
        <w:rPr>
          <w:rFonts w:eastAsia="方正小标宋简体"/>
          <w:color w:val="000000"/>
          <w:kern w:val="0"/>
          <w:sz w:val="40"/>
          <w:szCs w:val="40"/>
        </w:rPr>
        <w:t>湖州职业技术学</w:t>
      </w:r>
      <w:r>
        <w:rPr>
          <w:rFonts w:hint="eastAsia" w:eastAsia="方正小标宋简体"/>
          <w:color w:val="000000"/>
          <w:kern w:val="0"/>
          <w:sz w:val="40"/>
          <w:szCs w:val="40"/>
        </w:rPr>
        <w:t>院</w:t>
      </w:r>
      <w:r>
        <w:rPr>
          <w:rFonts w:hint="default" w:ascii="Times New Roman" w:hAnsi="Times New Roman" w:eastAsia="方正小标宋简体" w:cs="Times New Roman"/>
          <w:color w:val="000000"/>
          <w:kern w:val="0"/>
          <w:sz w:val="40"/>
          <w:szCs w:val="40"/>
        </w:rPr>
        <w:t>2024</w:t>
      </w:r>
      <w:r>
        <w:rPr>
          <w:rFonts w:hint="eastAsia" w:eastAsia="方正小标宋简体"/>
          <w:color w:val="000000"/>
          <w:kern w:val="0"/>
          <w:sz w:val="40"/>
          <w:szCs w:val="40"/>
        </w:rPr>
        <w:t>级现代物流管理</w:t>
      </w:r>
      <w:r>
        <w:rPr>
          <w:rFonts w:eastAsia="方正小标宋简体"/>
          <w:color w:val="000000"/>
          <w:kern w:val="0"/>
          <w:sz w:val="40"/>
          <w:szCs w:val="40"/>
        </w:rPr>
        <w:t>专业</w:t>
      </w:r>
      <w:r>
        <w:rPr>
          <w:rFonts w:hint="eastAsia" w:eastAsia="方正小标宋简体"/>
          <w:color w:val="000000"/>
          <w:kern w:val="0"/>
          <w:sz w:val="40"/>
          <w:szCs w:val="40"/>
        </w:rPr>
        <w:t>（</w:t>
      </w:r>
      <w:r>
        <w:rPr>
          <w:rFonts w:hint="eastAsia" w:eastAsia="方正小标宋简体"/>
          <w:color w:val="000000"/>
          <w:kern w:val="0"/>
          <w:sz w:val="40"/>
          <w:szCs w:val="40"/>
          <w:lang w:val="en-US"/>
        </w:rPr>
        <w:t>五年制</w:t>
      </w:r>
      <w:r>
        <w:rPr>
          <w:rFonts w:hint="eastAsia" w:eastAsia="方正小标宋简体"/>
          <w:color w:val="000000"/>
          <w:kern w:val="0"/>
          <w:sz w:val="40"/>
          <w:szCs w:val="40"/>
        </w:rPr>
        <w:t>）</w:t>
      </w:r>
      <w:r>
        <w:rPr>
          <w:rFonts w:eastAsia="方正小标宋简体"/>
          <w:color w:val="000000"/>
          <w:kern w:val="0"/>
          <w:sz w:val="40"/>
          <w:szCs w:val="40"/>
        </w:rPr>
        <w:t>人才培养方案</w:t>
      </w:r>
    </w:p>
    <w:p>
      <w:pPr>
        <w:pStyle w:val="7"/>
        <w:spacing w:line="520" w:lineRule="exact"/>
        <w:jc w:val="center"/>
        <w:rPr>
          <w:rFonts w:eastAsia="方正小标宋简体"/>
          <w:color w:val="000000"/>
          <w:kern w:val="0"/>
          <w:sz w:val="40"/>
          <w:szCs w:val="40"/>
          <w:lang w:val="en-US"/>
        </w:rPr>
      </w:pP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一、专业名称与代码</w:t>
      </w:r>
    </w:p>
    <w:p>
      <w:pPr>
        <w:spacing w:line="400" w:lineRule="exact"/>
        <w:ind w:firstLine="420" w:firstLineChars="200"/>
        <w:rPr>
          <w:szCs w:val="21"/>
        </w:rPr>
      </w:pPr>
      <w:r>
        <w:rPr>
          <w:szCs w:val="21"/>
        </w:rPr>
        <w:t>专业名称：</w:t>
      </w:r>
      <w:r>
        <w:rPr>
          <w:rFonts w:hint="eastAsia"/>
          <w:szCs w:val="21"/>
        </w:rPr>
        <w:t>现代物流管理</w:t>
      </w:r>
    </w:p>
    <w:p>
      <w:pPr>
        <w:spacing w:line="400" w:lineRule="exact"/>
        <w:ind w:firstLine="420" w:firstLineChars="200"/>
        <w:rPr>
          <w:szCs w:val="21"/>
        </w:rPr>
      </w:pPr>
      <w:r>
        <w:rPr>
          <w:szCs w:val="21"/>
        </w:rPr>
        <w:t>专业代码：530802</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二、入学要求</w:t>
      </w:r>
    </w:p>
    <w:p>
      <w:pPr>
        <w:spacing w:line="400" w:lineRule="exact"/>
        <w:ind w:firstLine="420" w:firstLineChars="200"/>
        <w:jc w:val="left"/>
        <w:rPr>
          <w:color w:val="000000"/>
          <w:kern w:val="0"/>
          <w:szCs w:val="21"/>
        </w:rPr>
      </w:pPr>
      <w:r>
        <w:rPr>
          <w:color w:val="000000"/>
          <w:kern w:val="0"/>
          <w:szCs w:val="21"/>
        </w:rPr>
        <w:t>中职毕业生或具有同等</w:t>
      </w:r>
      <w:r>
        <w:rPr>
          <w:rFonts w:hint="eastAsia"/>
          <w:color w:val="000000"/>
          <w:kern w:val="0"/>
          <w:szCs w:val="21"/>
          <w:lang w:val="en-US" w:eastAsia="zh-CN"/>
        </w:rPr>
        <w:t>学力</w:t>
      </w:r>
      <w:r>
        <w:rPr>
          <w:color w:val="000000"/>
          <w:kern w:val="0"/>
          <w:szCs w:val="21"/>
        </w:rPr>
        <w:t>者。</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三、修业年限</w:t>
      </w:r>
    </w:p>
    <w:p>
      <w:pPr>
        <w:spacing w:line="400" w:lineRule="exact"/>
        <w:ind w:firstLine="420" w:firstLineChars="200"/>
        <w:jc w:val="left"/>
        <w:rPr>
          <w:kern w:val="0"/>
          <w:szCs w:val="21"/>
        </w:rPr>
      </w:pPr>
      <w:r>
        <w:rPr>
          <w:kern w:val="0"/>
          <w:szCs w:val="21"/>
        </w:rPr>
        <w:t>基本学制2年，学习年限2-4年，学分制。</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四、职业面向</w:t>
      </w:r>
    </w:p>
    <w:p>
      <w:pPr>
        <w:spacing w:line="400" w:lineRule="exact"/>
        <w:ind w:firstLine="422" w:firstLineChars="200"/>
        <w:jc w:val="left"/>
        <w:rPr>
          <w:b/>
          <w:bCs/>
          <w:color w:val="000000"/>
          <w:kern w:val="0"/>
          <w:szCs w:val="21"/>
        </w:rPr>
      </w:pPr>
      <w:r>
        <w:rPr>
          <w:b/>
          <w:bCs/>
          <w:color w:val="000000"/>
          <w:kern w:val="0"/>
          <w:szCs w:val="21"/>
        </w:rPr>
        <w:t>（一）职业领域</w:t>
      </w:r>
    </w:p>
    <w:p>
      <w:pPr>
        <w:pStyle w:val="5"/>
        <w:keepNext/>
        <w:jc w:val="center"/>
        <w:rPr>
          <w:rFonts w:ascii="Times New Roman" w:hAnsi="Times New Roman"/>
          <w:b/>
          <w:bCs/>
          <w:color w:val="000000"/>
          <w:sz w:val="18"/>
          <w:szCs w:val="18"/>
        </w:rPr>
      </w:pPr>
      <w:bookmarkStart w:id="0" w:name="_Ref132097609"/>
      <w:r>
        <w:rPr>
          <w:rFonts w:ascii="Times New Roman" w:hAnsi="Times New Roman" w:eastAsia="宋体"/>
          <w:b/>
          <w:bCs/>
          <w:color w:val="000000"/>
          <w:sz w:val="18"/>
          <w:szCs w:val="18"/>
        </w:rPr>
        <w:t>表</w:t>
      </w:r>
      <w:r>
        <w:rPr>
          <w:rFonts w:ascii="Times New Roman" w:hAnsi="Times New Roman" w:eastAsia="宋体"/>
          <w:b/>
          <w:bCs/>
          <w:color w:val="000000"/>
          <w:sz w:val="18"/>
          <w:szCs w:val="18"/>
        </w:rPr>
        <w:fldChar w:fldCharType="begin"/>
      </w:r>
      <w:r>
        <w:rPr>
          <w:rFonts w:ascii="Times New Roman" w:hAnsi="Times New Roman" w:eastAsia="宋体"/>
          <w:b/>
          <w:bCs/>
          <w:color w:val="000000"/>
          <w:sz w:val="18"/>
          <w:szCs w:val="18"/>
        </w:rPr>
        <w:instrText xml:space="preserve"> SEQ 表 \* ARABIC </w:instrText>
      </w:r>
      <w:r>
        <w:rPr>
          <w:rFonts w:ascii="Times New Roman" w:hAnsi="Times New Roman" w:eastAsia="宋体"/>
          <w:b/>
          <w:bCs/>
          <w:color w:val="000000"/>
          <w:sz w:val="18"/>
          <w:szCs w:val="18"/>
        </w:rPr>
        <w:fldChar w:fldCharType="separate"/>
      </w:r>
      <w:r>
        <w:rPr>
          <w:rFonts w:ascii="Times New Roman" w:hAnsi="Times New Roman" w:eastAsia="宋体"/>
          <w:b/>
          <w:bCs/>
          <w:color w:val="000000"/>
          <w:sz w:val="18"/>
          <w:szCs w:val="18"/>
        </w:rPr>
        <w:t>1</w:t>
      </w:r>
      <w:r>
        <w:rPr>
          <w:rFonts w:ascii="Times New Roman" w:hAnsi="Times New Roman" w:eastAsia="宋体"/>
          <w:b/>
          <w:bCs/>
          <w:color w:val="000000"/>
          <w:sz w:val="18"/>
          <w:szCs w:val="18"/>
        </w:rPr>
        <w:fldChar w:fldCharType="end"/>
      </w:r>
      <w:bookmarkEnd w:id="0"/>
      <w:r>
        <w:rPr>
          <w:rFonts w:ascii="Times New Roman" w:hAnsi="Times New Roman" w:eastAsia="宋体"/>
          <w:b/>
          <w:bCs/>
          <w:color w:val="000000"/>
          <w:sz w:val="18"/>
          <w:szCs w:val="18"/>
        </w:rPr>
        <w:t>本专业职业面向</w:t>
      </w:r>
    </w:p>
    <w:tbl>
      <w:tblPr>
        <w:tblStyle w:val="13"/>
        <w:tblpPr w:leftFromText="180" w:rightFromText="180" w:vertAnchor="text" w:horzAnchor="margin" w:tblpXSpec="center" w:tblpY="67"/>
        <w:tblW w:w="0" w:type="auto"/>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416"/>
        <w:gridCol w:w="1111"/>
        <w:gridCol w:w="1090"/>
        <w:gridCol w:w="1146"/>
        <w:gridCol w:w="1693"/>
        <w:gridCol w:w="2066"/>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65" w:hRule="exact"/>
          <w:jc w:val="center"/>
        </w:trPr>
        <w:tc>
          <w:tcPr>
            <w:tcW w:w="1504" w:type="dxa"/>
            <w:shd w:val="clear" w:color="auto" w:fill="F1F1F1" w:themeFill="background1" w:themeFillShade="F2"/>
            <w:vAlign w:val="center"/>
          </w:tcPr>
          <w:p>
            <w:pPr>
              <w:jc w:val="center"/>
              <w:rPr>
                <w:bCs/>
                <w:kern w:val="0"/>
                <w:sz w:val="18"/>
                <w:szCs w:val="18"/>
              </w:rPr>
            </w:pPr>
            <w:r>
              <w:rPr>
                <w:bCs/>
                <w:kern w:val="0"/>
                <w:sz w:val="18"/>
                <w:szCs w:val="18"/>
              </w:rPr>
              <w:t>所属专业大类（代码）</w:t>
            </w:r>
          </w:p>
        </w:tc>
        <w:tc>
          <w:tcPr>
            <w:tcW w:w="1134" w:type="dxa"/>
            <w:shd w:val="clear" w:color="auto" w:fill="F1F1F1" w:themeFill="background1" w:themeFillShade="F2"/>
            <w:vAlign w:val="center"/>
          </w:tcPr>
          <w:p>
            <w:pPr>
              <w:jc w:val="center"/>
              <w:rPr>
                <w:bCs/>
                <w:kern w:val="0"/>
                <w:sz w:val="18"/>
                <w:szCs w:val="18"/>
              </w:rPr>
            </w:pPr>
            <w:r>
              <w:rPr>
                <w:bCs/>
                <w:kern w:val="0"/>
                <w:sz w:val="18"/>
                <w:szCs w:val="18"/>
              </w:rPr>
              <w:t>所属专业类</w:t>
            </w:r>
          </w:p>
          <w:p>
            <w:pPr>
              <w:jc w:val="center"/>
              <w:rPr>
                <w:bCs/>
                <w:kern w:val="0"/>
                <w:sz w:val="18"/>
                <w:szCs w:val="18"/>
              </w:rPr>
            </w:pPr>
            <w:r>
              <w:rPr>
                <w:bCs/>
                <w:kern w:val="0"/>
                <w:sz w:val="18"/>
                <w:szCs w:val="18"/>
              </w:rPr>
              <w:t>（代码）</w:t>
            </w:r>
          </w:p>
        </w:tc>
        <w:tc>
          <w:tcPr>
            <w:tcW w:w="1134" w:type="dxa"/>
            <w:shd w:val="clear" w:color="auto" w:fill="F1F1F1" w:themeFill="background1" w:themeFillShade="F2"/>
            <w:vAlign w:val="center"/>
          </w:tcPr>
          <w:p>
            <w:pPr>
              <w:jc w:val="center"/>
              <w:rPr>
                <w:bCs/>
                <w:kern w:val="0"/>
                <w:sz w:val="18"/>
                <w:szCs w:val="18"/>
              </w:rPr>
            </w:pPr>
            <w:r>
              <w:rPr>
                <w:bCs/>
                <w:kern w:val="0"/>
                <w:sz w:val="18"/>
                <w:szCs w:val="18"/>
              </w:rPr>
              <w:t>对应行业（代码）</w:t>
            </w:r>
          </w:p>
        </w:tc>
        <w:tc>
          <w:tcPr>
            <w:tcW w:w="1134" w:type="dxa"/>
            <w:shd w:val="clear" w:color="auto" w:fill="F1F1F1" w:themeFill="background1" w:themeFillShade="F2"/>
            <w:vAlign w:val="center"/>
          </w:tcPr>
          <w:p>
            <w:pPr>
              <w:jc w:val="center"/>
              <w:rPr>
                <w:bCs/>
                <w:kern w:val="0"/>
                <w:sz w:val="18"/>
                <w:szCs w:val="18"/>
              </w:rPr>
            </w:pPr>
            <w:r>
              <w:rPr>
                <w:bCs/>
                <w:kern w:val="0"/>
                <w:sz w:val="18"/>
                <w:szCs w:val="18"/>
              </w:rPr>
              <w:t>主要职业类别（代码）</w:t>
            </w:r>
          </w:p>
        </w:tc>
        <w:tc>
          <w:tcPr>
            <w:tcW w:w="1842" w:type="dxa"/>
            <w:shd w:val="clear" w:color="auto" w:fill="F1F1F1" w:themeFill="background1" w:themeFillShade="F2"/>
            <w:vAlign w:val="center"/>
          </w:tcPr>
          <w:p>
            <w:pPr>
              <w:jc w:val="center"/>
              <w:rPr>
                <w:bCs/>
                <w:kern w:val="0"/>
                <w:sz w:val="18"/>
                <w:szCs w:val="18"/>
              </w:rPr>
            </w:pPr>
            <w:r>
              <w:rPr>
                <w:bCs/>
                <w:kern w:val="0"/>
                <w:sz w:val="18"/>
                <w:szCs w:val="18"/>
              </w:rPr>
              <w:t>主要岗位类别（或技术领域）</w:t>
            </w:r>
          </w:p>
        </w:tc>
        <w:tc>
          <w:tcPr>
            <w:tcW w:w="2270" w:type="dxa"/>
            <w:shd w:val="clear" w:color="auto" w:fill="F1F1F1" w:themeFill="background1" w:themeFillShade="F2"/>
            <w:vAlign w:val="center"/>
          </w:tcPr>
          <w:p>
            <w:pPr>
              <w:jc w:val="center"/>
              <w:rPr>
                <w:bCs/>
                <w:kern w:val="0"/>
                <w:sz w:val="18"/>
                <w:szCs w:val="18"/>
              </w:rPr>
            </w:pPr>
            <w:r>
              <w:rPr>
                <w:bCs/>
                <w:kern w:val="0"/>
                <w:sz w:val="18"/>
                <w:szCs w:val="18"/>
              </w:rPr>
              <w:t>职业资格证书或技能等级证书举例</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45" w:hRule="exact"/>
          <w:jc w:val="center"/>
        </w:trPr>
        <w:tc>
          <w:tcPr>
            <w:tcW w:w="1504" w:type="dxa"/>
            <w:vAlign w:val="center"/>
          </w:tcPr>
          <w:p>
            <w:pPr>
              <w:jc w:val="center"/>
              <w:rPr>
                <w:bCs/>
                <w:kern w:val="0"/>
                <w:sz w:val="18"/>
                <w:szCs w:val="18"/>
              </w:rPr>
            </w:pPr>
            <w:r>
              <w:rPr>
                <w:rFonts w:hint="eastAsia"/>
                <w:kern w:val="0"/>
                <w:sz w:val="18"/>
                <w:szCs w:val="18"/>
              </w:rPr>
              <w:t>财经商贸大类（53）</w:t>
            </w:r>
          </w:p>
        </w:tc>
        <w:tc>
          <w:tcPr>
            <w:tcW w:w="1134" w:type="dxa"/>
            <w:vAlign w:val="center"/>
          </w:tcPr>
          <w:p>
            <w:pPr>
              <w:jc w:val="center"/>
              <w:rPr>
                <w:bCs/>
                <w:kern w:val="0"/>
                <w:sz w:val="18"/>
                <w:szCs w:val="18"/>
              </w:rPr>
            </w:pPr>
            <w:r>
              <w:rPr>
                <w:rFonts w:hint="eastAsia"/>
                <w:kern w:val="0"/>
                <w:sz w:val="18"/>
                <w:szCs w:val="18"/>
              </w:rPr>
              <w:t>物流类（5308）</w:t>
            </w:r>
          </w:p>
        </w:tc>
        <w:tc>
          <w:tcPr>
            <w:tcW w:w="1134" w:type="dxa"/>
            <w:vAlign w:val="center"/>
          </w:tcPr>
          <w:p>
            <w:pPr>
              <w:jc w:val="center"/>
              <w:rPr>
                <w:kern w:val="0"/>
                <w:sz w:val="18"/>
                <w:szCs w:val="18"/>
              </w:rPr>
            </w:pPr>
            <w:r>
              <w:rPr>
                <w:rFonts w:hint="eastAsia"/>
                <w:kern w:val="0"/>
                <w:sz w:val="18"/>
                <w:szCs w:val="18"/>
              </w:rPr>
              <w:t>道路运输业（54）</w:t>
            </w:r>
          </w:p>
          <w:p>
            <w:pPr>
              <w:jc w:val="center"/>
              <w:rPr>
                <w:kern w:val="0"/>
                <w:sz w:val="18"/>
                <w:szCs w:val="18"/>
              </w:rPr>
            </w:pPr>
            <w:r>
              <w:rPr>
                <w:rFonts w:hint="eastAsia"/>
                <w:kern w:val="0"/>
                <w:sz w:val="18"/>
                <w:szCs w:val="18"/>
              </w:rPr>
              <w:t>多式联运和运输代理业（58）</w:t>
            </w:r>
          </w:p>
          <w:p>
            <w:pPr>
              <w:jc w:val="center"/>
              <w:rPr>
                <w:bCs/>
                <w:kern w:val="0"/>
                <w:sz w:val="18"/>
                <w:szCs w:val="18"/>
              </w:rPr>
            </w:pPr>
            <w:r>
              <w:rPr>
                <w:rFonts w:hint="eastAsia"/>
                <w:kern w:val="0"/>
                <w:sz w:val="18"/>
                <w:szCs w:val="18"/>
              </w:rPr>
              <w:t>装卸搬运和仓储业（59）</w:t>
            </w:r>
          </w:p>
        </w:tc>
        <w:tc>
          <w:tcPr>
            <w:tcW w:w="1134" w:type="dxa"/>
            <w:vAlign w:val="center"/>
          </w:tcPr>
          <w:p>
            <w:pPr>
              <w:jc w:val="center"/>
              <w:rPr>
                <w:kern w:val="0"/>
                <w:sz w:val="18"/>
                <w:szCs w:val="18"/>
              </w:rPr>
            </w:pPr>
            <w:r>
              <w:rPr>
                <w:rFonts w:hint="eastAsia"/>
                <w:kern w:val="0"/>
                <w:sz w:val="18"/>
                <w:szCs w:val="18"/>
              </w:rPr>
              <w:t>管理（工业）工程技术人员（2-02-34）</w:t>
            </w:r>
          </w:p>
          <w:p>
            <w:pPr>
              <w:jc w:val="center"/>
              <w:rPr>
                <w:kern w:val="0"/>
                <w:sz w:val="18"/>
                <w:szCs w:val="18"/>
              </w:rPr>
            </w:pPr>
            <w:r>
              <w:rPr>
                <w:rFonts w:hint="eastAsia"/>
                <w:kern w:val="0"/>
                <w:sz w:val="18"/>
                <w:szCs w:val="18"/>
              </w:rPr>
              <w:t>运输服务人员(4-05)</w:t>
            </w:r>
          </w:p>
          <w:p>
            <w:pPr>
              <w:jc w:val="center"/>
              <w:rPr>
                <w:kern w:val="0"/>
                <w:sz w:val="18"/>
                <w:szCs w:val="18"/>
              </w:rPr>
            </w:pPr>
            <w:r>
              <w:rPr>
                <w:rFonts w:hint="eastAsia"/>
                <w:kern w:val="0"/>
                <w:sz w:val="18"/>
                <w:szCs w:val="18"/>
              </w:rPr>
              <w:t>仓储人员（4-02）</w:t>
            </w:r>
          </w:p>
          <w:p>
            <w:pPr>
              <w:jc w:val="center"/>
              <w:rPr>
                <w:kern w:val="0"/>
                <w:sz w:val="18"/>
                <w:szCs w:val="18"/>
              </w:rPr>
            </w:pPr>
            <w:r>
              <w:rPr>
                <w:rFonts w:hint="eastAsia"/>
                <w:kern w:val="0"/>
                <w:sz w:val="18"/>
                <w:szCs w:val="18"/>
              </w:rPr>
              <w:t>采购人员（4-01-03）</w:t>
            </w:r>
          </w:p>
        </w:tc>
        <w:tc>
          <w:tcPr>
            <w:tcW w:w="1842" w:type="dxa"/>
            <w:vAlign w:val="center"/>
          </w:tcPr>
          <w:p>
            <w:pPr>
              <w:jc w:val="center"/>
              <w:rPr>
                <w:kern w:val="0"/>
                <w:sz w:val="18"/>
                <w:szCs w:val="18"/>
              </w:rPr>
            </w:pPr>
            <w:r>
              <w:rPr>
                <w:rFonts w:hint="eastAsia"/>
                <w:kern w:val="0"/>
                <w:sz w:val="18"/>
                <w:szCs w:val="18"/>
              </w:rPr>
              <w:t>仓储一线管理</w:t>
            </w:r>
          </w:p>
          <w:p>
            <w:pPr>
              <w:jc w:val="center"/>
              <w:rPr>
                <w:kern w:val="0"/>
                <w:sz w:val="18"/>
                <w:szCs w:val="18"/>
              </w:rPr>
            </w:pPr>
            <w:r>
              <w:rPr>
                <w:rFonts w:hint="eastAsia"/>
                <w:kern w:val="0"/>
                <w:sz w:val="18"/>
                <w:szCs w:val="18"/>
              </w:rPr>
              <w:t>运输一线管理</w:t>
            </w:r>
          </w:p>
          <w:p>
            <w:pPr>
              <w:jc w:val="center"/>
              <w:rPr>
                <w:kern w:val="0"/>
                <w:sz w:val="18"/>
                <w:szCs w:val="18"/>
              </w:rPr>
            </w:pPr>
            <w:r>
              <w:rPr>
                <w:rFonts w:hint="eastAsia"/>
                <w:kern w:val="0"/>
                <w:sz w:val="18"/>
                <w:szCs w:val="18"/>
              </w:rPr>
              <w:t>物流销售</w:t>
            </w:r>
          </w:p>
          <w:p>
            <w:pPr>
              <w:jc w:val="center"/>
              <w:rPr>
                <w:kern w:val="0"/>
                <w:sz w:val="18"/>
                <w:szCs w:val="18"/>
              </w:rPr>
            </w:pPr>
            <w:r>
              <w:rPr>
                <w:rFonts w:hint="eastAsia"/>
                <w:kern w:val="0"/>
                <w:sz w:val="18"/>
                <w:szCs w:val="18"/>
              </w:rPr>
              <w:t>物流客户服务</w:t>
            </w:r>
          </w:p>
          <w:p>
            <w:pPr>
              <w:jc w:val="center"/>
              <w:rPr>
                <w:kern w:val="0"/>
                <w:sz w:val="18"/>
                <w:szCs w:val="18"/>
              </w:rPr>
            </w:pPr>
            <w:r>
              <w:rPr>
                <w:rFonts w:hint="eastAsia"/>
                <w:kern w:val="0"/>
                <w:sz w:val="18"/>
                <w:szCs w:val="18"/>
              </w:rPr>
              <w:t>生产车间一线管理</w:t>
            </w:r>
          </w:p>
          <w:p>
            <w:pPr>
              <w:jc w:val="center"/>
              <w:rPr>
                <w:bCs/>
                <w:kern w:val="0"/>
                <w:sz w:val="18"/>
                <w:szCs w:val="18"/>
              </w:rPr>
            </w:pPr>
            <w:r>
              <w:rPr>
                <w:rFonts w:hint="eastAsia"/>
                <w:kern w:val="0"/>
                <w:sz w:val="18"/>
                <w:szCs w:val="18"/>
              </w:rPr>
              <w:t>采购员</w:t>
            </w:r>
          </w:p>
        </w:tc>
        <w:tc>
          <w:tcPr>
            <w:tcW w:w="2270" w:type="dxa"/>
            <w:vAlign w:val="center"/>
          </w:tcPr>
          <w:p>
            <w:pPr>
              <w:jc w:val="center"/>
              <w:rPr>
                <w:kern w:val="0"/>
                <w:sz w:val="18"/>
                <w:szCs w:val="18"/>
              </w:rPr>
            </w:pPr>
            <w:r>
              <w:rPr>
                <w:rFonts w:hint="eastAsia"/>
                <w:kern w:val="0"/>
                <w:sz w:val="18"/>
                <w:szCs w:val="18"/>
              </w:rPr>
              <w:t>现代物流管理1+X认证</w:t>
            </w:r>
          </w:p>
          <w:p>
            <w:pPr>
              <w:jc w:val="center"/>
              <w:rPr>
                <w:kern w:val="0"/>
                <w:sz w:val="18"/>
                <w:szCs w:val="18"/>
              </w:rPr>
            </w:pPr>
            <w:r>
              <w:rPr>
                <w:rFonts w:hint="eastAsia"/>
                <w:kern w:val="0"/>
                <w:sz w:val="18"/>
                <w:szCs w:val="18"/>
              </w:rPr>
              <w:t>叉车证</w:t>
            </w:r>
          </w:p>
          <w:p>
            <w:pPr>
              <w:jc w:val="center"/>
              <w:rPr>
                <w:bCs/>
                <w:kern w:val="0"/>
                <w:sz w:val="18"/>
                <w:szCs w:val="18"/>
              </w:rPr>
            </w:pPr>
            <w:r>
              <w:rPr>
                <w:rFonts w:hint="eastAsia"/>
                <w:kern w:val="0"/>
                <w:sz w:val="18"/>
                <w:szCs w:val="18"/>
              </w:rPr>
              <w:t>条码技术资格证书</w:t>
            </w:r>
          </w:p>
        </w:tc>
      </w:tr>
    </w:tbl>
    <w:p>
      <w:pPr>
        <w:spacing w:line="400" w:lineRule="exact"/>
        <w:ind w:firstLine="422" w:firstLineChars="200"/>
        <w:jc w:val="left"/>
        <w:rPr>
          <w:b/>
          <w:bCs/>
          <w:color w:val="000000"/>
          <w:kern w:val="0"/>
          <w:szCs w:val="21"/>
        </w:rPr>
      </w:pPr>
      <w:r>
        <w:rPr>
          <w:b/>
          <w:bCs/>
          <w:color w:val="000000"/>
          <w:kern w:val="0"/>
          <w:szCs w:val="21"/>
        </w:rPr>
        <w:t>（二）工作岗位</w:t>
      </w:r>
    </w:p>
    <w:p>
      <w:pPr>
        <w:pStyle w:val="5"/>
        <w:keepNext/>
        <w:jc w:val="center"/>
        <w:rPr>
          <w:rFonts w:ascii="Times New Roman" w:hAnsi="Times New Roman" w:eastAsia="宋体"/>
          <w:b/>
          <w:bCs/>
          <w:sz w:val="18"/>
          <w:szCs w:val="18"/>
        </w:rPr>
      </w:pPr>
      <w:r>
        <w:rPr>
          <w:rFonts w:ascii="Times New Roman" w:hAnsi="Times New Roman" w:eastAsia="宋体"/>
          <w:b/>
          <w:bCs/>
          <w:sz w:val="18"/>
          <w:szCs w:val="18"/>
        </w:rPr>
        <w:t>表</w:t>
      </w:r>
      <w:r>
        <w:rPr>
          <w:rFonts w:ascii="Times New Roman" w:hAnsi="Times New Roman" w:eastAsia="宋体"/>
          <w:b/>
          <w:bCs/>
          <w:sz w:val="18"/>
          <w:szCs w:val="18"/>
        </w:rPr>
        <w:fldChar w:fldCharType="begin"/>
      </w:r>
      <w:r>
        <w:rPr>
          <w:rFonts w:ascii="Times New Roman" w:hAnsi="Times New Roman" w:eastAsia="宋体"/>
          <w:b/>
          <w:bCs/>
          <w:sz w:val="18"/>
          <w:szCs w:val="18"/>
        </w:rPr>
        <w:instrText xml:space="preserve"> SEQ 表 \* ARABIC </w:instrText>
      </w:r>
      <w:r>
        <w:rPr>
          <w:rFonts w:ascii="Times New Roman" w:hAnsi="Times New Roman" w:eastAsia="宋体"/>
          <w:b/>
          <w:bCs/>
          <w:sz w:val="18"/>
          <w:szCs w:val="18"/>
        </w:rPr>
        <w:fldChar w:fldCharType="separate"/>
      </w:r>
      <w:r>
        <w:rPr>
          <w:rFonts w:ascii="Times New Roman" w:hAnsi="Times New Roman" w:eastAsia="宋体"/>
          <w:b/>
          <w:bCs/>
          <w:sz w:val="18"/>
          <w:szCs w:val="18"/>
        </w:rPr>
        <w:t>2</w:t>
      </w:r>
      <w:r>
        <w:rPr>
          <w:rFonts w:ascii="Times New Roman" w:hAnsi="Times New Roman" w:eastAsia="宋体"/>
          <w:b/>
          <w:bCs/>
          <w:sz w:val="18"/>
          <w:szCs w:val="18"/>
        </w:rPr>
        <w:fldChar w:fldCharType="end"/>
      </w:r>
      <w:r>
        <w:rPr>
          <w:rFonts w:ascii="Times New Roman" w:hAnsi="Times New Roman" w:eastAsia="宋体"/>
          <w:b/>
          <w:bCs/>
          <w:sz w:val="18"/>
          <w:szCs w:val="18"/>
        </w:rPr>
        <w:t>本专业工作岗位</w:t>
      </w:r>
    </w:p>
    <w:tbl>
      <w:tblPr>
        <w:tblStyle w:val="13"/>
        <w:tblW w:w="0" w:type="auto"/>
        <w:tblInd w:w="0"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31"/>
        <w:gridCol w:w="1869"/>
        <w:gridCol w:w="6022"/>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F1F1F1" w:themeFill="background1" w:themeFillShade="F2"/>
          </w:tcPr>
          <w:p>
            <w:pPr>
              <w:jc w:val="center"/>
              <w:rPr>
                <w:kern w:val="0"/>
                <w:sz w:val="18"/>
                <w:szCs w:val="18"/>
              </w:rPr>
            </w:pPr>
            <w:r>
              <w:rPr>
                <w:kern w:val="0"/>
                <w:sz w:val="18"/>
                <w:szCs w:val="18"/>
              </w:rPr>
              <w:t>序号</w:t>
            </w:r>
          </w:p>
        </w:tc>
        <w:tc>
          <w:tcPr>
            <w:tcW w:w="1869" w:type="dxa"/>
            <w:shd w:val="clear" w:color="auto" w:fill="F1F1F1" w:themeFill="background1" w:themeFillShade="F2"/>
          </w:tcPr>
          <w:p>
            <w:pPr>
              <w:jc w:val="center"/>
              <w:rPr>
                <w:kern w:val="0"/>
                <w:sz w:val="18"/>
                <w:szCs w:val="18"/>
              </w:rPr>
            </w:pPr>
            <w:r>
              <w:rPr>
                <w:kern w:val="0"/>
                <w:sz w:val="18"/>
                <w:szCs w:val="18"/>
              </w:rPr>
              <w:t>岗位名称</w:t>
            </w:r>
          </w:p>
        </w:tc>
        <w:tc>
          <w:tcPr>
            <w:tcW w:w="6022" w:type="dxa"/>
            <w:shd w:val="clear" w:color="auto" w:fill="F1F1F1" w:themeFill="background1" w:themeFillShade="F2"/>
          </w:tcPr>
          <w:p>
            <w:pPr>
              <w:jc w:val="center"/>
              <w:rPr>
                <w:kern w:val="0"/>
                <w:sz w:val="18"/>
                <w:szCs w:val="18"/>
              </w:rPr>
            </w:pPr>
            <w:r>
              <w:rPr>
                <w:kern w:val="0"/>
                <w:sz w:val="18"/>
                <w:szCs w:val="18"/>
              </w:rPr>
              <w:t>描述</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kern w:val="0"/>
                <w:sz w:val="18"/>
                <w:szCs w:val="18"/>
              </w:rPr>
              <w:t>1</w:t>
            </w:r>
          </w:p>
        </w:tc>
        <w:tc>
          <w:tcPr>
            <w:tcW w:w="1869" w:type="dxa"/>
            <w:shd w:val="clear" w:color="auto" w:fill="auto"/>
            <w:vAlign w:val="center"/>
          </w:tcPr>
          <w:p>
            <w:pPr>
              <w:jc w:val="center"/>
              <w:rPr>
                <w:kern w:val="0"/>
                <w:sz w:val="18"/>
                <w:szCs w:val="18"/>
              </w:rPr>
            </w:pPr>
            <w:r>
              <w:rPr>
                <w:rFonts w:hint="eastAsia"/>
                <w:kern w:val="0"/>
                <w:sz w:val="18"/>
                <w:szCs w:val="18"/>
              </w:rPr>
              <w:t>仓储现场作业员</w:t>
            </w:r>
          </w:p>
        </w:tc>
        <w:tc>
          <w:tcPr>
            <w:tcW w:w="6022" w:type="dxa"/>
            <w:shd w:val="clear" w:color="auto" w:fill="auto"/>
            <w:vAlign w:val="center"/>
          </w:tcPr>
          <w:p>
            <w:pPr>
              <w:jc w:val="left"/>
              <w:rPr>
                <w:kern w:val="0"/>
                <w:sz w:val="18"/>
                <w:szCs w:val="18"/>
              </w:rPr>
            </w:pPr>
            <w:r>
              <w:rPr>
                <w:rFonts w:hint="eastAsia"/>
                <w:kern w:val="0"/>
                <w:sz w:val="18"/>
                <w:szCs w:val="18"/>
              </w:rPr>
              <w:t>1.负责货物点数验货、扫描入库、上架作业；</w:t>
            </w:r>
          </w:p>
          <w:p>
            <w:pPr>
              <w:rPr>
                <w:sz w:val="18"/>
                <w:szCs w:val="18"/>
              </w:rPr>
            </w:pPr>
            <w:r>
              <w:rPr>
                <w:sz w:val="18"/>
                <w:szCs w:val="18"/>
              </w:rPr>
              <w:t>2.</w:t>
            </w:r>
            <w:r>
              <w:rPr>
                <w:rFonts w:hint="eastAsia"/>
                <w:sz w:val="18"/>
                <w:szCs w:val="18"/>
              </w:rPr>
              <w:t>根据出库要求，对货物进行拣选、分拣、扫描出库、包装等作业；</w:t>
            </w:r>
          </w:p>
          <w:p>
            <w:r>
              <w:rPr>
                <w:rFonts w:hint="eastAsia"/>
                <w:sz w:val="18"/>
                <w:szCs w:val="18"/>
              </w:rPr>
              <w:t>3</w:t>
            </w:r>
            <w:r>
              <w:rPr>
                <w:sz w:val="18"/>
                <w:szCs w:val="18"/>
              </w:rPr>
              <w:t>.</w:t>
            </w:r>
            <w:r>
              <w:rPr>
                <w:rFonts w:hint="eastAsia"/>
                <w:sz w:val="18"/>
                <w:szCs w:val="18"/>
              </w:rPr>
              <w:t>维护库内5S</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kern w:val="0"/>
                <w:sz w:val="18"/>
                <w:szCs w:val="18"/>
              </w:rPr>
              <w:t>2</w:t>
            </w:r>
          </w:p>
        </w:tc>
        <w:tc>
          <w:tcPr>
            <w:tcW w:w="1869" w:type="dxa"/>
            <w:shd w:val="clear" w:color="auto" w:fill="auto"/>
            <w:vAlign w:val="center"/>
          </w:tcPr>
          <w:p>
            <w:pPr>
              <w:jc w:val="center"/>
              <w:rPr>
                <w:kern w:val="0"/>
                <w:sz w:val="18"/>
                <w:szCs w:val="18"/>
              </w:rPr>
            </w:pPr>
            <w:r>
              <w:rPr>
                <w:rFonts w:hint="eastAsia"/>
                <w:kern w:val="0"/>
                <w:sz w:val="18"/>
                <w:szCs w:val="18"/>
              </w:rPr>
              <w:t>运输调度员</w:t>
            </w:r>
          </w:p>
        </w:tc>
        <w:tc>
          <w:tcPr>
            <w:tcW w:w="6022" w:type="dxa"/>
            <w:shd w:val="clear" w:color="auto" w:fill="auto"/>
            <w:vAlign w:val="center"/>
          </w:tcPr>
          <w:p>
            <w:pPr>
              <w:jc w:val="left"/>
              <w:rPr>
                <w:kern w:val="0"/>
                <w:sz w:val="18"/>
                <w:szCs w:val="18"/>
              </w:rPr>
            </w:pPr>
            <w:r>
              <w:rPr>
                <w:rFonts w:hint="eastAsia"/>
                <w:kern w:val="0"/>
                <w:sz w:val="18"/>
                <w:szCs w:val="18"/>
              </w:rPr>
              <w:t>1.据订单计划，合理安排运力，完成各项配送指标；</w:t>
            </w:r>
          </w:p>
          <w:p>
            <w:pPr>
              <w:rPr>
                <w:sz w:val="18"/>
                <w:szCs w:val="18"/>
              </w:rPr>
            </w:pPr>
            <w:r>
              <w:rPr>
                <w:sz w:val="18"/>
                <w:szCs w:val="18"/>
              </w:rPr>
              <w:t>2.</w:t>
            </w:r>
            <w:r>
              <w:rPr>
                <w:rFonts w:hint="eastAsia"/>
                <w:sz w:val="18"/>
                <w:szCs w:val="18"/>
              </w:rPr>
              <w:t>管控发车和配送环节，提高车辆的满载率，降低运输成本；</w:t>
            </w:r>
          </w:p>
          <w:p>
            <w:r>
              <w:rPr>
                <w:rFonts w:hint="eastAsia"/>
                <w:sz w:val="18"/>
                <w:szCs w:val="18"/>
              </w:rPr>
              <w:t>3</w:t>
            </w:r>
            <w:r>
              <w:rPr>
                <w:sz w:val="18"/>
                <w:szCs w:val="18"/>
              </w:rPr>
              <w:t>.</w:t>
            </w:r>
            <w:r>
              <w:rPr>
                <w:rFonts w:hint="eastAsia"/>
                <w:sz w:val="18"/>
                <w:szCs w:val="18"/>
              </w:rPr>
              <w:t>退补换配送售后问题处理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kern w:val="0"/>
                <w:sz w:val="18"/>
                <w:szCs w:val="18"/>
              </w:rPr>
              <w:t>3</w:t>
            </w:r>
          </w:p>
        </w:tc>
        <w:tc>
          <w:tcPr>
            <w:tcW w:w="1869" w:type="dxa"/>
            <w:shd w:val="clear" w:color="auto" w:fill="auto"/>
            <w:vAlign w:val="center"/>
          </w:tcPr>
          <w:p>
            <w:pPr>
              <w:jc w:val="center"/>
              <w:rPr>
                <w:kern w:val="0"/>
                <w:sz w:val="18"/>
                <w:szCs w:val="18"/>
              </w:rPr>
            </w:pPr>
            <w:r>
              <w:rPr>
                <w:rFonts w:hint="eastAsia"/>
                <w:kern w:val="0"/>
                <w:sz w:val="18"/>
                <w:szCs w:val="18"/>
              </w:rPr>
              <w:t>配送作业员</w:t>
            </w:r>
          </w:p>
        </w:tc>
        <w:tc>
          <w:tcPr>
            <w:tcW w:w="6022" w:type="dxa"/>
            <w:shd w:val="clear" w:color="auto" w:fill="auto"/>
            <w:vAlign w:val="center"/>
          </w:tcPr>
          <w:p>
            <w:pPr>
              <w:jc w:val="left"/>
              <w:rPr>
                <w:kern w:val="0"/>
                <w:sz w:val="18"/>
                <w:szCs w:val="18"/>
              </w:rPr>
            </w:pPr>
            <w:r>
              <w:rPr>
                <w:rFonts w:hint="eastAsia"/>
                <w:kern w:val="0"/>
                <w:sz w:val="18"/>
                <w:szCs w:val="18"/>
              </w:rPr>
              <w:t>1.完成配送计划的制定；</w:t>
            </w:r>
          </w:p>
          <w:p>
            <w:pPr>
              <w:jc w:val="left"/>
              <w:rPr>
                <w:kern w:val="0"/>
                <w:sz w:val="18"/>
                <w:szCs w:val="18"/>
              </w:rPr>
            </w:pPr>
            <w:r>
              <w:rPr>
                <w:rFonts w:hint="eastAsia"/>
                <w:kern w:val="0"/>
                <w:sz w:val="18"/>
                <w:szCs w:val="18"/>
              </w:rPr>
              <w:t>2</w:t>
            </w:r>
            <w:r>
              <w:rPr>
                <w:kern w:val="0"/>
                <w:sz w:val="18"/>
                <w:szCs w:val="18"/>
              </w:rPr>
              <w:t>.</w:t>
            </w:r>
            <w:r>
              <w:rPr>
                <w:rFonts w:hint="eastAsia"/>
                <w:kern w:val="0"/>
                <w:sz w:val="18"/>
                <w:szCs w:val="18"/>
              </w:rPr>
              <w:t>进行配送作业的执行；</w:t>
            </w:r>
          </w:p>
          <w:p>
            <w:pPr>
              <w:jc w:val="left"/>
            </w:pPr>
            <w:r>
              <w:rPr>
                <w:rFonts w:hint="eastAsia"/>
                <w:kern w:val="0"/>
                <w:sz w:val="18"/>
                <w:szCs w:val="18"/>
              </w:rPr>
              <w:t>3</w:t>
            </w:r>
            <w:r>
              <w:rPr>
                <w:kern w:val="0"/>
                <w:sz w:val="18"/>
                <w:szCs w:val="18"/>
              </w:rPr>
              <w:t>.</w:t>
            </w:r>
            <w:r>
              <w:rPr>
                <w:rFonts w:hint="eastAsia"/>
                <w:kern w:val="0"/>
                <w:sz w:val="18"/>
                <w:szCs w:val="18"/>
              </w:rPr>
              <w:t>辅助配送中心规划</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31" w:type="dxa"/>
            <w:shd w:val="clear" w:color="auto" w:fill="auto"/>
            <w:vAlign w:val="center"/>
          </w:tcPr>
          <w:p>
            <w:pPr>
              <w:jc w:val="center"/>
              <w:rPr>
                <w:kern w:val="0"/>
                <w:sz w:val="18"/>
                <w:szCs w:val="18"/>
              </w:rPr>
            </w:pPr>
            <w:r>
              <w:rPr>
                <w:rFonts w:hint="eastAsia"/>
                <w:kern w:val="0"/>
                <w:sz w:val="18"/>
                <w:szCs w:val="18"/>
              </w:rPr>
              <w:t>4</w:t>
            </w:r>
          </w:p>
        </w:tc>
        <w:tc>
          <w:tcPr>
            <w:tcW w:w="1869" w:type="dxa"/>
            <w:shd w:val="clear" w:color="auto" w:fill="auto"/>
            <w:vAlign w:val="center"/>
          </w:tcPr>
          <w:p>
            <w:pPr>
              <w:jc w:val="center"/>
              <w:rPr>
                <w:kern w:val="0"/>
                <w:sz w:val="18"/>
                <w:szCs w:val="18"/>
              </w:rPr>
            </w:pPr>
            <w:r>
              <w:rPr>
                <w:rFonts w:hint="eastAsia"/>
                <w:kern w:val="0"/>
                <w:sz w:val="18"/>
                <w:szCs w:val="18"/>
              </w:rPr>
              <w:t>生产作业管理员</w:t>
            </w:r>
          </w:p>
        </w:tc>
        <w:tc>
          <w:tcPr>
            <w:tcW w:w="6022" w:type="dxa"/>
            <w:shd w:val="clear" w:color="auto" w:fill="auto"/>
            <w:vAlign w:val="center"/>
          </w:tcPr>
          <w:p>
            <w:pPr>
              <w:jc w:val="left"/>
              <w:rPr>
                <w:kern w:val="0"/>
                <w:sz w:val="18"/>
                <w:szCs w:val="18"/>
              </w:rPr>
            </w:pPr>
            <w:r>
              <w:rPr>
                <w:rFonts w:hint="eastAsia"/>
                <w:kern w:val="0"/>
                <w:sz w:val="18"/>
                <w:szCs w:val="18"/>
              </w:rPr>
              <w:t>1</w:t>
            </w:r>
            <w:r>
              <w:rPr>
                <w:kern w:val="0"/>
                <w:sz w:val="18"/>
                <w:szCs w:val="18"/>
              </w:rPr>
              <w:t>.</w:t>
            </w:r>
            <w:r>
              <w:rPr>
                <w:rFonts w:hint="eastAsia"/>
                <w:kern w:val="0"/>
                <w:sz w:val="18"/>
                <w:szCs w:val="18"/>
              </w:rPr>
              <w:t>能够进行工厂设施选址；</w:t>
            </w:r>
          </w:p>
          <w:p>
            <w:pPr>
              <w:jc w:val="left"/>
              <w:rPr>
                <w:kern w:val="0"/>
                <w:sz w:val="18"/>
                <w:szCs w:val="18"/>
              </w:rPr>
            </w:pPr>
            <w:r>
              <w:rPr>
                <w:kern w:val="0"/>
                <w:sz w:val="18"/>
                <w:szCs w:val="18"/>
              </w:rPr>
              <w:t>2.</w:t>
            </w:r>
            <w:r>
              <w:rPr>
                <w:rFonts w:hint="eastAsia"/>
                <w:kern w:val="0"/>
                <w:sz w:val="18"/>
                <w:szCs w:val="18"/>
              </w:rPr>
              <w:t>对工厂总平面布置和车间平面布置；</w:t>
            </w:r>
          </w:p>
          <w:p>
            <w:pPr>
              <w:jc w:val="left"/>
              <w:rPr>
                <w:kern w:val="0"/>
                <w:sz w:val="18"/>
                <w:szCs w:val="18"/>
              </w:rPr>
            </w:pPr>
            <w:r>
              <w:rPr>
                <w:kern w:val="0"/>
                <w:sz w:val="18"/>
                <w:szCs w:val="18"/>
              </w:rPr>
              <w:t>3.</w:t>
            </w:r>
            <w:r>
              <w:rPr>
                <w:rFonts w:hint="eastAsia"/>
                <w:kern w:val="0"/>
                <w:sz w:val="18"/>
                <w:szCs w:val="18"/>
              </w:rPr>
              <w:t>能够制定生产计划并进行实施；</w:t>
            </w:r>
          </w:p>
          <w:p>
            <w:pPr>
              <w:jc w:val="left"/>
            </w:pPr>
            <w:r>
              <w:rPr>
                <w:rFonts w:hint="eastAsia"/>
                <w:kern w:val="0"/>
                <w:sz w:val="18"/>
                <w:szCs w:val="18"/>
              </w:rPr>
              <w:t>4</w:t>
            </w:r>
            <w:r>
              <w:rPr>
                <w:kern w:val="0"/>
                <w:sz w:val="18"/>
                <w:szCs w:val="18"/>
              </w:rPr>
              <w:t>.</w:t>
            </w:r>
            <w:r>
              <w:rPr>
                <w:rFonts w:hint="eastAsia"/>
                <w:kern w:val="0"/>
                <w:sz w:val="18"/>
                <w:szCs w:val="18"/>
              </w:rPr>
              <w:t>能利用QC七大手法对产品质量进行数据分析</w:t>
            </w:r>
          </w:p>
        </w:tc>
      </w:tr>
    </w:tbl>
    <w:p>
      <w:pPr>
        <w:spacing w:line="400" w:lineRule="exact"/>
        <w:ind w:firstLine="422" w:firstLineChars="200"/>
        <w:jc w:val="left"/>
        <w:rPr>
          <w:b/>
          <w:bCs/>
          <w:color w:val="000000"/>
          <w:kern w:val="0"/>
          <w:szCs w:val="21"/>
        </w:rPr>
      </w:pPr>
      <w:r>
        <w:rPr>
          <w:b/>
          <w:bCs/>
          <w:color w:val="000000"/>
          <w:kern w:val="0"/>
          <w:szCs w:val="21"/>
        </w:rPr>
        <w:t>（三）</w:t>
      </w:r>
      <w:bookmarkStart w:id="1" w:name="_Hlk132978461"/>
      <w:r>
        <w:rPr>
          <w:b/>
          <w:bCs/>
          <w:color w:val="000000"/>
          <w:kern w:val="0"/>
          <w:szCs w:val="21"/>
        </w:rPr>
        <w:t>工作岗位与职业能力分析表</w:t>
      </w:r>
      <w:bookmarkEnd w:id="1"/>
    </w:p>
    <w:p>
      <w:pPr>
        <w:pStyle w:val="5"/>
        <w:keepNext/>
        <w:jc w:val="center"/>
        <w:rPr>
          <w:rFonts w:ascii="Times New Roman" w:hAnsi="Times New Roman" w:eastAsia="宋体"/>
          <w:b/>
          <w:bCs/>
          <w:sz w:val="18"/>
          <w:szCs w:val="18"/>
        </w:rPr>
      </w:pPr>
      <w:r>
        <w:rPr>
          <w:rFonts w:ascii="Times New Roman" w:hAnsi="Times New Roman" w:eastAsia="宋体"/>
          <w:b/>
          <w:bCs/>
          <w:sz w:val="18"/>
          <w:szCs w:val="18"/>
        </w:rPr>
        <w:t>表</w:t>
      </w:r>
      <w:r>
        <w:rPr>
          <w:rFonts w:ascii="Times New Roman" w:hAnsi="Times New Roman" w:eastAsia="宋体"/>
          <w:b/>
          <w:bCs/>
          <w:sz w:val="18"/>
          <w:szCs w:val="18"/>
        </w:rPr>
        <w:fldChar w:fldCharType="begin"/>
      </w:r>
      <w:r>
        <w:rPr>
          <w:rFonts w:ascii="Times New Roman" w:hAnsi="Times New Roman" w:eastAsia="宋体"/>
          <w:b/>
          <w:bCs/>
          <w:sz w:val="18"/>
          <w:szCs w:val="18"/>
        </w:rPr>
        <w:instrText xml:space="preserve"> SEQ 表 \* ARABIC </w:instrText>
      </w:r>
      <w:r>
        <w:rPr>
          <w:rFonts w:ascii="Times New Roman" w:hAnsi="Times New Roman" w:eastAsia="宋体"/>
          <w:b/>
          <w:bCs/>
          <w:sz w:val="18"/>
          <w:szCs w:val="18"/>
        </w:rPr>
        <w:fldChar w:fldCharType="separate"/>
      </w:r>
      <w:r>
        <w:rPr>
          <w:rFonts w:ascii="Times New Roman" w:hAnsi="Times New Roman" w:eastAsia="宋体"/>
          <w:b/>
          <w:bCs/>
          <w:sz w:val="18"/>
          <w:szCs w:val="18"/>
        </w:rPr>
        <w:t>3</w:t>
      </w:r>
      <w:r>
        <w:rPr>
          <w:rFonts w:ascii="Times New Roman" w:hAnsi="Times New Roman" w:eastAsia="宋体"/>
          <w:b/>
          <w:bCs/>
          <w:sz w:val="18"/>
          <w:szCs w:val="18"/>
        </w:rPr>
        <w:fldChar w:fldCharType="end"/>
      </w:r>
      <w:r>
        <w:rPr>
          <w:rFonts w:ascii="Times New Roman" w:hAnsi="Times New Roman" w:eastAsia="宋体"/>
          <w:b/>
          <w:bCs/>
          <w:sz w:val="18"/>
          <w:szCs w:val="18"/>
        </w:rPr>
        <w:t>工作岗位与职业能力分析表</w:t>
      </w:r>
    </w:p>
    <w:tbl>
      <w:tblPr>
        <w:tblStyle w:val="13"/>
        <w:tblW w:w="9478" w:type="dxa"/>
        <w:tblInd w:w="-314"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05"/>
        <w:gridCol w:w="982"/>
        <w:gridCol w:w="1550"/>
        <w:gridCol w:w="4718"/>
        <w:gridCol w:w="1623"/>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05" w:type="dxa"/>
            <w:shd w:val="clear" w:color="auto" w:fill="F1F1F1" w:themeFill="background1" w:themeFillShade="F2"/>
          </w:tcPr>
          <w:p>
            <w:pPr>
              <w:jc w:val="center"/>
              <w:rPr>
                <w:kern w:val="0"/>
                <w:sz w:val="18"/>
                <w:szCs w:val="18"/>
              </w:rPr>
            </w:pPr>
            <w:r>
              <w:rPr>
                <w:kern w:val="0"/>
                <w:sz w:val="18"/>
                <w:szCs w:val="18"/>
              </w:rPr>
              <w:t>序号</w:t>
            </w:r>
          </w:p>
        </w:tc>
        <w:tc>
          <w:tcPr>
            <w:tcW w:w="982" w:type="dxa"/>
            <w:shd w:val="clear" w:color="auto" w:fill="F1F1F1" w:themeFill="background1" w:themeFillShade="F2"/>
          </w:tcPr>
          <w:p>
            <w:pPr>
              <w:jc w:val="center"/>
              <w:rPr>
                <w:kern w:val="0"/>
                <w:sz w:val="18"/>
                <w:szCs w:val="18"/>
              </w:rPr>
            </w:pPr>
            <w:r>
              <w:rPr>
                <w:kern w:val="0"/>
                <w:sz w:val="18"/>
                <w:szCs w:val="18"/>
              </w:rPr>
              <w:t>工作岗位</w:t>
            </w:r>
          </w:p>
        </w:tc>
        <w:tc>
          <w:tcPr>
            <w:tcW w:w="1550" w:type="dxa"/>
            <w:shd w:val="clear" w:color="auto" w:fill="F1F1F1" w:themeFill="background1" w:themeFillShade="F2"/>
          </w:tcPr>
          <w:p>
            <w:pPr>
              <w:jc w:val="center"/>
              <w:rPr>
                <w:kern w:val="0"/>
                <w:sz w:val="18"/>
                <w:szCs w:val="18"/>
              </w:rPr>
            </w:pPr>
            <w:r>
              <w:rPr>
                <w:kern w:val="0"/>
                <w:sz w:val="18"/>
                <w:szCs w:val="18"/>
              </w:rPr>
              <w:t>工作任务</w:t>
            </w:r>
          </w:p>
        </w:tc>
        <w:tc>
          <w:tcPr>
            <w:tcW w:w="4718" w:type="dxa"/>
            <w:shd w:val="clear" w:color="auto" w:fill="F1F1F1" w:themeFill="background1" w:themeFillShade="F2"/>
          </w:tcPr>
          <w:p>
            <w:pPr>
              <w:jc w:val="center"/>
              <w:rPr>
                <w:kern w:val="0"/>
                <w:sz w:val="18"/>
                <w:szCs w:val="18"/>
              </w:rPr>
            </w:pPr>
            <w:r>
              <w:rPr>
                <w:kern w:val="0"/>
                <w:sz w:val="18"/>
                <w:szCs w:val="18"/>
              </w:rPr>
              <w:t>职业能力</w:t>
            </w:r>
          </w:p>
        </w:tc>
        <w:tc>
          <w:tcPr>
            <w:tcW w:w="1623" w:type="dxa"/>
            <w:shd w:val="clear" w:color="auto" w:fill="F1F1F1" w:themeFill="background1" w:themeFillShade="F2"/>
          </w:tcPr>
          <w:p>
            <w:pPr>
              <w:jc w:val="center"/>
              <w:rPr>
                <w:kern w:val="0"/>
                <w:sz w:val="18"/>
                <w:szCs w:val="18"/>
              </w:rPr>
            </w:pPr>
            <w:r>
              <w:rPr>
                <w:kern w:val="0"/>
                <w:sz w:val="18"/>
                <w:szCs w:val="18"/>
              </w:rPr>
              <w:t>相关课程</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05" w:type="dxa"/>
            <w:shd w:val="clear" w:color="auto" w:fill="auto"/>
            <w:vAlign w:val="center"/>
          </w:tcPr>
          <w:p>
            <w:pPr>
              <w:jc w:val="center"/>
              <w:rPr>
                <w:kern w:val="0"/>
                <w:sz w:val="18"/>
                <w:szCs w:val="18"/>
              </w:rPr>
            </w:pPr>
            <w:r>
              <w:rPr>
                <w:kern w:val="0"/>
                <w:sz w:val="18"/>
                <w:szCs w:val="18"/>
              </w:rPr>
              <w:t>1</w:t>
            </w:r>
          </w:p>
        </w:tc>
        <w:tc>
          <w:tcPr>
            <w:tcW w:w="982" w:type="dxa"/>
            <w:shd w:val="clear" w:color="auto" w:fill="auto"/>
            <w:vAlign w:val="center"/>
          </w:tcPr>
          <w:p>
            <w:pPr>
              <w:jc w:val="center"/>
              <w:rPr>
                <w:kern w:val="0"/>
                <w:sz w:val="18"/>
                <w:szCs w:val="18"/>
              </w:rPr>
            </w:pPr>
            <w:r>
              <w:rPr>
                <w:rFonts w:hint="eastAsia"/>
                <w:kern w:val="0"/>
                <w:sz w:val="18"/>
                <w:szCs w:val="18"/>
              </w:rPr>
              <w:t>仓储现场作业员</w:t>
            </w:r>
          </w:p>
        </w:tc>
        <w:tc>
          <w:tcPr>
            <w:tcW w:w="1550" w:type="dxa"/>
            <w:shd w:val="clear" w:color="auto" w:fill="auto"/>
            <w:vAlign w:val="center"/>
          </w:tcPr>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货物验收</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货物入库</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货物堆码</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货物分拣</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货物打包</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货物盘点</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货物出库</w:t>
            </w:r>
          </w:p>
        </w:tc>
        <w:tc>
          <w:tcPr>
            <w:tcW w:w="4718"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能使用磅秤等常见的验收工具进行货物验收</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能正确处理验收中所发现的各类问题</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能正确处理入库单据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能操作自动入库设备进行货物入库，或自行将货物放在正确的货位（货物条码、托盘条码、货位条码需要一致）</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能按照大不压小、重不压轻、重心稳固等货物堆码的基本原则进行货物堆码</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能根据货物外包装尺寸大小使用纵横交错法、压缝法等方法进行货物堆垛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能根据货物和客户的订货特点正确选择播种法和摘果法等分拣方法</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能正确使用播种法进行货物分拣</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能正确使用摘果法进行货物分拣</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能根据货物特点选择包装工具</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能正确使用打包机、打包带、打包扣等进行货物打包</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能正确操作半自动包装机，并了解其基本原理</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能正确处理盘点单据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能使用随机盘点法、账面盘点法、定期盘点法等进行货物盘点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能正确处理货物出库单据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能正确进行月台码放</w:t>
            </w:r>
          </w:p>
        </w:tc>
        <w:tc>
          <w:tcPr>
            <w:tcW w:w="1623"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仓储管理实务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物流信息管理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运输管理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05" w:type="dxa"/>
            <w:shd w:val="clear" w:color="auto" w:fill="auto"/>
            <w:vAlign w:val="center"/>
          </w:tcPr>
          <w:p>
            <w:pPr>
              <w:jc w:val="center"/>
              <w:rPr>
                <w:kern w:val="0"/>
                <w:sz w:val="18"/>
                <w:szCs w:val="18"/>
              </w:rPr>
            </w:pPr>
            <w:r>
              <w:rPr>
                <w:kern w:val="0"/>
                <w:sz w:val="18"/>
                <w:szCs w:val="18"/>
              </w:rPr>
              <w:t>2</w:t>
            </w:r>
          </w:p>
        </w:tc>
        <w:tc>
          <w:tcPr>
            <w:tcW w:w="982" w:type="dxa"/>
            <w:shd w:val="clear" w:color="auto" w:fill="auto"/>
            <w:vAlign w:val="center"/>
          </w:tcPr>
          <w:p>
            <w:pPr>
              <w:jc w:val="center"/>
              <w:rPr>
                <w:kern w:val="0"/>
                <w:sz w:val="18"/>
                <w:szCs w:val="18"/>
              </w:rPr>
            </w:pPr>
            <w:r>
              <w:rPr>
                <w:rFonts w:hint="eastAsia"/>
                <w:kern w:val="0"/>
                <w:sz w:val="18"/>
                <w:szCs w:val="18"/>
              </w:rPr>
              <w:t>运输调度员</w:t>
            </w:r>
          </w:p>
        </w:tc>
        <w:tc>
          <w:tcPr>
            <w:tcW w:w="1550" w:type="dxa"/>
            <w:shd w:val="clear" w:color="auto" w:fill="auto"/>
            <w:vAlign w:val="center"/>
          </w:tcPr>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运输方式选择</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铁路运输托运</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公路运输托运</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航空运输托运</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水路班轮运输托运</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集装箱运输托运</w:t>
            </w:r>
          </w:p>
        </w:tc>
        <w:tc>
          <w:tcPr>
            <w:tcW w:w="4718"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能正确分析各种运输方式的优缺点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能根据货物的种类、货量、要求时间、距离、路线等条件等选择合理的运输方式</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能正确判断某一种类、数量的货物适合零担运输还是整车运输</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能根据托运人的需求，拟制一份托运人与承运人之间的书面预约合同（或铁路要车计划表）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能熟练的填制铁路局托运单和货票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能正确计算铁路零担、铁路整车、铁路集装箱的运输费用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能正确模拟托运单和货票的不同联的流转过程</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能正确判断某一种类、数量的货物适合零担运输还是整车运输</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能熟练的填制公路运输托运单和货票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能正确计算公路零担、公路整车的运输费用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能熟练操作浙江省交通厅公路运输管理平台软件（小件快运、普通货物运输两套软件）</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能根据所给托运信息正确的填制航空运单</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能正确根据航空运输的普通运价、等级运价、指定商品运价、优惠价格等计算航空货物的运输费用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能准确填制有关托运单、运单、提单、提货单</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能根据运价表中的规定正确计算托运货物的计费重量，准确计算基本运费和附加费。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能根据一单进出口业务熟练操作国际贸易软件进出口流程</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能正确分析集装箱上的标识所代表的各项内容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能准确根据所给货物尺寸，分析20ft/40ft集装箱箱内货物堆码方法，使集装箱得到最大利用。</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能准确分析每一种集装箱交接方法下托运人、承运人、收货人各自的责任范围。</w:t>
            </w:r>
          </w:p>
        </w:tc>
        <w:tc>
          <w:tcPr>
            <w:tcW w:w="1623"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物流成本管理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运输管理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仓储管理实务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eastAsia" w:ascii="Times New Roman" w:hAnsi="Times New Roman" w:eastAsia="宋体" w:cs="Times New Roman"/>
                <w:kern w:val="0"/>
                <w:sz w:val="18"/>
                <w:szCs w:val="18"/>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05" w:type="dxa"/>
            <w:shd w:val="clear" w:color="auto" w:fill="auto"/>
            <w:vAlign w:val="center"/>
          </w:tcPr>
          <w:p>
            <w:pPr>
              <w:jc w:val="center"/>
              <w:rPr>
                <w:kern w:val="0"/>
                <w:sz w:val="18"/>
                <w:szCs w:val="18"/>
              </w:rPr>
            </w:pPr>
            <w:r>
              <w:rPr>
                <w:kern w:val="0"/>
                <w:sz w:val="18"/>
                <w:szCs w:val="18"/>
              </w:rPr>
              <w:t>3</w:t>
            </w:r>
          </w:p>
        </w:tc>
        <w:tc>
          <w:tcPr>
            <w:tcW w:w="982" w:type="dxa"/>
            <w:shd w:val="clear" w:color="auto" w:fill="auto"/>
            <w:vAlign w:val="center"/>
          </w:tcPr>
          <w:p>
            <w:pPr>
              <w:jc w:val="center"/>
              <w:rPr>
                <w:kern w:val="0"/>
                <w:sz w:val="18"/>
                <w:szCs w:val="18"/>
              </w:rPr>
            </w:pPr>
            <w:r>
              <w:rPr>
                <w:rFonts w:hint="eastAsia"/>
                <w:kern w:val="0"/>
                <w:sz w:val="18"/>
                <w:szCs w:val="18"/>
              </w:rPr>
              <w:t>配送作业员</w:t>
            </w:r>
          </w:p>
        </w:tc>
        <w:tc>
          <w:tcPr>
            <w:tcW w:w="1550" w:type="dxa"/>
            <w:shd w:val="clear" w:color="auto" w:fill="auto"/>
            <w:vAlign w:val="center"/>
          </w:tcPr>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配送计划的制定</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配送作业的执行</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配送中心规划</w:t>
            </w:r>
          </w:p>
        </w:tc>
        <w:tc>
          <w:tcPr>
            <w:tcW w:w="4718"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能正确分析每一种配送模式的优缺点，并结合所给例子说明该例子中货物适合哪一种配送模式</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能根据某个配送中心的门店需求情况和配送中心的现有资源情况，制定一份在时间、路线、成本等方面较为合理的配送计划。在配送路线方面要能做到尽可能优化。</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能熟练编制有关配送中心的采购订单、入库单、盘点单、出库单、台账等单据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能熟练对配送中心入库、在库管理、出库等进行操作</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能对企业配送绩效进行数据收集、整理和分析</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能对企业现有配送方案提出存在的问题和改进措施</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能根据所给信息对一个需要新建的配送中心，设计其平面布局图、配备相应的设备、设计工作岗位、画出工作流程图、并进行成本估算。</w:t>
            </w:r>
          </w:p>
        </w:tc>
        <w:tc>
          <w:tcPr>
            <w:tcW w:w="1623"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物流管理基础</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仓储管理实务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运输管理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05" w:type="dxa"/>
            <w:shd w:val="clear" w:color="auto" w:fill="auto"/>
            <w:vAlign w:val="center"/>
          </w:tcPr>
          <w:p>
            <w:pPr>
              <w:jc w:val="center"/>
              <w:rPr>
                <w:kern w:val="0"/>
                <w:sz w:val="18"/>
                <w:szCs w:val="18"/>
              </w:rPr>
            </w:pPr>
            <w:r>
              <w:rPr>
                <w:rFonts w:hint="eastAsia"/>
                <w:kern w:val="0"/>
                <w:sz w:val="18"/>
                <w:szCs w:val="18"/>
              </w:rPr>
              <w:t>4</w:t>
            </w:r>
          </w:p>
        </w:tc>
        <w:tc>
          <w:tcPr>
            <w:tcW w:w="982" w:type="dxa"/>
            <w:shd w:val="clear" w:color="auto" w:fill="auto"/>
            <w:vAlign w:val="center"/>
          </w:tcPr>
          <w:p>
            <w:pPr>
              <w:jc w:val="center"/>
              <w:rPr>
                <w:kern w:val="0"/>
                <w:sz w:val="18"/>
                <w:szCs w:val="18"/>
              </w:rPr>
            </w:pPr>
            <w:r>
              <w:rPr>
                <w:rFonts w:hint="eastAsia" w:ascii="宋体" w:hAnsi="宋体" w:cs="宋体"/>
                <w:kern w:val="0"/>
                <w:sz w:val="20"/>
                <w:szCs w:val="20"/>
              </w:rPr>
              <w:t>生产作业管理员</w:t>
            </w:r>
          </w:p>
        </w:tc>
        <w:tc>
          <w:tcPr>
            <w:tcW w:w="1550" w:type="dxa"/>
            <w:shd w:val="clear" w:color="auto" w:fill="auto"/>
            <w:vAlign w:val="center"/>
          </w:tcPr>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工厂设施选址</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工厂总平面布置和车间平面布置</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生产能力校核</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生产计划的制定</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方法研究和作业测定</w:t>
            </w:r>
          </w:p>
          <w:p>
            <w:pPr>
              <w:keepNext w:val="0"/>
              <w:keepLines w:val="0"/>
              <w:pageBreakBefore w:val="0"/>
              <w:widowControl w:val="0"/>
              <w:numPr>
                <w:ilvl w:val="0"/>
                <w:numId w:val="1"/>
              </w:numPr>
              <w:kinsoku/>
              <w:wordWrap/>
              <w:overflowPunct/>
              <w:topLinePunct w:val="0"/>
              <w:autoSpaceDE/>
              <w:autoSpaceDN/>
              <w:bidi w:val="0"/>
              <w:adjustRightInd/>
              <w:snapToGrid/>
              <w:ind w:left="283" w:hanging="283"/>
              <w:jc w:val="both"/>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产品质量控制</w:t>
            </w:r>
          </w:p>
        </w:tc>
        <w:tc>
          <w:tcPr>
            <w:tcW w:w="4718" w:type="dxa"/>
            <w:shd w:val="clear" w:color="auto" w:fill="auto"/>
            <w:vAlign w:val="center"/>
          </w:tcPr>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能结合某一工厂的产品特点、消费人群等条件分析可能影响该工厂选址的因素。</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能利用头脑风暴法和加权平均法对工厂候选地址进行选择。</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能利用物料运量图法和生产活动相互关系图对工厂总平面布置的初步方案进行分析并改善。</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能分析按对象专业化形式布置车间（流水线）和按工艺专业化形式布置车间的优缺点</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能利用Autocad软件进行简单的工厂总平面布置和车间平面布置</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能计算单一流水线节拍</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能利用工序同期化方法进行单一品种流水线的平衡改善。</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能利用代表产品法和劳动量比重法计算多品种可变流水线的节拍。</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能利用生产比倒数法计算多品种混合流水线的投产顺序</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能准确分析影响一个企业生产能力的因素</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能正确计算大批量生产类型（流水线）的生产能力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能正确计算多品种小批量生产类型的生产能力，并能提出平衡各车间生产能力的措施。</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能根据企业订单、市场预测编制主生产计划</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能根据主生产计划、原材料库存信息和产品物料清单(BOM)编制物料需求计划</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能对企业生产过程进行工艺程序分析，并利用5W1H法、ECRS改善原则进行改进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能对企业生产过程进行流程程序分析，并利用5W1H法、ECRS改善原则进行改进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能对企业生产过程进行线路分析，并利用5W1H法、ECRS改善原则进行改进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能对操作者的动作进行动作分析，并利用5W1H法、ECRS改善原则进行改进</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能利用码表对操作者的动作进行时间测定，并给出标准时间</w:t>
            </w:r>
          </w:p>
          <w:p>
            <w:pPr>
              <w:keepNext w:val="0"/>
              <w:keepLines w:val="0"/>
              <w:pageBreakBefore w:val="0"/>
              <w:widowControl w:val="0"/>
              <w:numPr>
                <w:ilvl w:val="0"/>
                <w:numId w:val="2"/>
              </w:numPr>
              <w:kinsoku/>
              <w:wordWrap/>
              <w:overflowPunct/>
              <w:topLinePunct w:val="0"/>
              <w:autoSpaceDE/>
              <w:autoSpaceDN/>
              <w:bidi w:val="0"/>
              <w:adjustRightInd/>
              <w:snapToGrid/>
              <w:ind w:left="283" w:hanging="283"/>
              <w:jc w:val="left"/>
              <w:textAlignment w:val="auto"/>
              <w:rPr>
                <w:rFonts w:ascii="Times New Roman" w:hAnsi="Times New Roman" w:eastAsia="宋体" w:cs="Times New Roman"/>
                <w:kern w:val="0"/>
                <w:sz w:val="18"/>
                <w:szCs w:val="18"/>
              </w:rPr>
            </w:pPr>
            <w:r>
              <w:rPr>
                <w:rFonts w:hint="eastAsia" w:ascii="Times New Roman" w:hAnsi="Times New Roman" w:eastAsia="宋体" w:cs="Times New Roman"/>
                <w:kern w:val="0"/>
                <w:sz w:val="18"/>
                <w:szCs w:val="18"/>
              </w:rPr>
              <w:t>能利用QC七大手法对产品质量进行数据分析，并分析影响产品质量的问题，提出可能的改进措施</w:t>
            </w:r>
          </w:p>
        </w:tc>
        <w:tc>
          <w:tcPr>
            <w:tcW w:w="1623" w:type="dxa"/>
            <w:shd w:val="clear" w:color="auto"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配送管理实务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生产管理</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物流方案策划与设计</w:t>
            </w:r>
          </w:p>
          <w:p>
            <w:pPr>
              <w:keepNext w:val="0"/>
              <w:keepLines w:val="0"/>
              <w:pageBreakBefore w:val="0"/>
              <w:widowControl w:val="0"/>
              <w:numPr>
                <w:ilvl w:val="0"/>
                <w:numId w:val="3"/>
              </w:numPr>
              <w:kinsoku/>
              <w:wordWrap/>
              <w:overflowPunct/>
              <w:topLinePunct w:val="0"/>
              <w:autoSpaceDE/>
              <w:autoSpaceDN/>
              <w:bidi w:val="0"/>
              <w:adjustRightInd/>
              <w:snapToGrid/>
              <w:ind w:left="283" w:hanging="283"/>
              <w:jc w:val="left"/>
              <w:textAlignment w:val="auto"/>
              <w:rPr>
                <w:rFonts w:hint="eastAsia" w:ascii="Times New Roman" w:hAnsi="Times New Roman" w:eastAsia="宋体" w:cs="Times New Roman"/>
                <w:kern w:val="0"/>
                <w:sz w:val="18"/>
                <w:szCs w:val="18"/>
              </w:rPr>
            </w:pPr>
            <w:r>
              <w:rPr>
                <w:rFonts w:hint="eastAsia" w:ascii="Times New Roman" w:hAnsi="Times New Roman" w:eastAsia="宋体" w:cs="Times New Roman"/>
                <w:kern w:val="0"/>
                <w:sz w:val="18"/>
                <w:szCs w:val="18"/>
              </w:rPr>
              <w:t>物流信息管理</w:t>
            </w:r>
          </w:p>
        </w:tc>
      </w:tr>
    </w:tbl>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五、培养目标与规格</w:t>
      </w:r>
    </w:p>
    <w:p>
      <w:pPr>
        <w:spacing w:line="400" w:lineRule="exact"/>
        <w:ind w:firstLine="422" w:firstLineChars="200"/>
        <w:jc w:val="left"/>
        <w:rPr>
          <w:b/>
          <w:bCs/>
          <w:color w:val="000000"/>
          <w:kern w:val="0"/>
          <w:szCs w:val="21"/>
        </w:rPr>
      </w:pPr>
      <w:r>
        <w:rPr>
          <w:b/>
          <w:bCs/>
          <w:color w:val="000000"/>
          <w:kern w:val="0"/>
          <w:szCs w:val="21"/>
        </w:rPr>
        <w:t>（一）培养目标定位</w:t>
      </w:r>
    </w:p>
    <w:p>
      <w:pPr>
        <w:spacing w:line="400" w:lineRule="exact"/>
        <w:ind w:firstLine="420" w:firstLineChars="200"/>
        <w:jc w:val="left"/>
        <w:rPr>
          <w:color w:val="FF0000"/>
          <w:kern w:val="0"/>
          <w:szCs w:val="21"/>
        </w:rPr>
      </w:pPr>
      <w:r>
        <w:rPr>
          <w:color w:val="000000"/>
          <w:kern w:val="0"/>
          <w:szCs w:val="21"/>
        </w:rPr>
        <w:t>本专业培养思想政治坚定、德技并修、德智体美劳全面发展的社会主义现代化建设事业的建设者和接班人，</w:t>
      </w:r>
      <w:r>
        <w:rPr>
          <w:kern w:val="0"/>
          <w:szCs w:val="21"/>
        </w:rPr>
        <w:t>围绕</w:t>
      </w:r>
      <w:r>
        <w:rPr>
          <w:rFonts w:hint="eastAsia"/>
          <w:kern w:val="0"/>
          <w:szCs w:val="21"/>
        </w:rPr>
        <w:t>湖州市智能物流装备等六大产业链和智慧电商物流</w:t>
      </w:r>
      <w:r>
        <w:rPr>
          <w:kern w:val="0"/>
          <w:szCs w:val="21"/>
        </w:rPr>
        <w:t>等产业高端发展的人才需求，面向</w:t>
      </w:r>
      <w:r>
        <w:rPr>
          <w:rFonts w:hint="eastAsia"/>
          <w:kern w:val="0"/>
          <w:szCs w:val="21"/>
        </w:rPr>
        <w:t>道路运输业、多式联运和运输代理业、装卸搬运和仓储业等</w:t>
      </w:r>
      <w:r>
        <w:rPr>
          <w:kern w:val="0"/>
          <w:szCs w:val="21"/>
        </w:rPr>
        <w:t>行业的</w:t>
      </w:r>
      <w:r>
        <w:rPr>
          <w:rFonts w:hint="eastAsia"/>
          <w:kern w:val="0"/>
          <w:szCs w:val="21"/>
        </w:rPr>
        <w:t>管理（工业）工程技术、运输服务、仓储、配送、采购等</w:t>
      </w:r>
      <w:r>
        <w:rPr>
          <w:kern w:val="0"/>
          <w:szCs w:val="21"/>
        </w:rPr>
        <w:t>职业（岗位群或技术领域），掌握扎实的</w:t>
      </w:r>
      <w:r>
        <w:rPr>
          <w:rFonts w:hint="eastAsia"/>
          <w:kern w:val="0"/>
          <w:szCs w:val="21"/>
        </w:rPr>
        <w:t>供应链管理、仓储管理、物流运输管理及物流营销</w:t>
      </w:r>
      <w:r>
        <w:rPr>
          <w:kern w:val="0"/>
          <w:szCs w:val="21"/>
        </w:rPr>
        <w:t>等知识，具备</w:t>
      </w:r>
      <w:r>
        <w:rPr>
          <w:rFonts w:hint="eastAsia"/>
          <w:kern w:val="0"/>
          <w:szCs w:val="21"/>
        </w:rPr>
        <w:t>配送、采购、仓储、供应链管理</w:t>
      </w:r>
      <w:r>
        <w:rPr>
          <w:kern w:val="0"/>
          <w:szCs w:val="21"/>
        </w:rPr>
        <w:t>等能力，能够从事</w:t>
      </w:r>
      <w:r>
        <w:rPr>
          <w:rFonts w:hint="eastAsia"/>
          <w:kern w:val="0"/>
          <w:szCs w:val="21"/>
        </w:rPr>
        <w:t>仓储一线管理、运输一线管理、物流销售、物流客户服务、生产车间一线管理、采购员、物流仓配系统的规划与设计等</w:t>
      </w:r>
      <w:r>
        <w:rPr>
          <w:kern w:val="0"/>
          <w:szCs w:val="21"/>
        </w:rPr>
        <w:t>工作的高素质技术技能人才。</w:t>
      </w:r>
    </w:p>
    <w:p>
      <w:pPr>
        <w:spacing w:line="400" w:lineRule="exact"/>
        <w:ind w:firstLine="422" w:firstLineChars="200"/>
        <w:jc w:val="left"/>
        <w:rPr>
          <w:rFonts w:eastAsiaTheme="minorEastAsia"/>
          <w:b/>
          <w:bCs/>
          <w:color w:val="000000"/>
          <w:kern w:val="0"/>
          <w:szCs w:val="21"/>
        </w:rPr>
      </w:pPr>
      <w:r>
        <w:rPr>
          <w:rFonts w:eastAsiaTheme="minorEastAsia"/>
          <w:b/>
          <w:bCs/>
          <w:color w:val="000000"/>
          <w:kern w:val="0"/>
          <w:szCs w:val="21"/>
        </w:rPr>
        <w:t>（二）培养规格</w:t>
      </w:r>
    </w:p>
    <w:p>
      <w:pPr>
        <w:spacing w:line="400" w:lineRule="exact"/>
        <w:ind w:firstLine="420" w:firstLineChars="200"/>
        <w:jc w:val="left"/>
        <w:rPr>
          <w:rFonts w:eastAsiaTheme="minorEastAsia"/>
          <w:color w:val="000000"/>
          <w:kern w:val="0"/>
          <w:szCs w:val="21"/>
        </w:rPr>
      </w:pPr>
      <w:r>
        <w:rPr>
          <w:rFonts w:eastAsiaTheme="minorEastAsia"/>
          <w:color w:val="000000"/>
          <w:kern w:val="0"/>
          <w:szCs w:val="21"/>
        </w:rPr>
        <w:t>本专业毕业生应在素质、知识和能力等方面达到以下要求：</w:t>
      </w:r>
    </w:p>
    <w:p>
      <w:pPr>
        <w:spacing w:line="400" w:lineRule="exact"/>
        <w:ind w:firstLine="422" w:firstLineChars="200"/>
        <w:jc w:val="left"/>
        <w:rPr>
          <w:rFonts w:eastAsiaTheme="minorEastAsia"/>
          <w:b/>
          <w:bCs/>
          <w:color w:val="000000"/>
          <w:kern w:val="0"/>
          <w:szCs w:val="21"/>
          <w:highlight w:val="none"/>
        </w:rPr>
      </w:pPr>
      <w:r>
        <w:rPr>
          <w:rFonts w:eastAsiaTheme="minorEastAsia"/>
          <w:b/>
          <w:bCs/>
          <w:color w:val="000000"/>
          <w:kern w:val="0"/>
          <w:szCs w:val="21"/>
          <w:highlight w:val="none"/>
        </w:rPr>
        <w:t>1 素质要求</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坚定拥护中国共产党领导和我国社会主义制度，在习近平新时代中国特色社会主义思想指引下，践行社会主义核心价值观，具有深厚的爱国情感和中华民族自豪感；</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崇尚宪法、遵法守纪、崇德向善、诚实守信、尊重生命、热爱劳动，履行道德准则和行为规范，具有社会责任感和社会参与意识</w:t>
      </w:r>
      <w:r>
        <w:rPr>
          <w:rFonts w:hint="eastAsia" w:eastAsiaTheme="minorEastAsia"/>
          <w:color w:val="000000"/>
          <w:kern w:val="0"/>
          <w:szCs w:val="21"/>
        </w:rPr>
        <w:t>，</w:t>
      </w:r>
      <w:r>
        <w:rPr>
          <w:rFonts w:hint="eastAsia" w:asciiTheme="minorEastAsia" w:hAnsiTheme="minorEastAsia" w:eastAsiaTheme="minorEastAsia" w:cstheme="minorEastAsia"/>
          <w:color w:val="000000"/>
          <w:kern w:val="0"/>
          <w:szCs w:val="21"/>
        </w:rPr>
        <w:t>理解并掌握国家有关涉及物流行业的法律法规；</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具有质量意识、环保意识、安全意识、信息素养、工匠精神、创新思维</w:t>
      </w:r>
      <w:r>
        <w:rPr>
          <w:rFonts w:hint="eastAsia" w:eastAsiaTheme="minorEastAsia"/>
          <w:color w:val="000000"/>
          <w:kern w:val="0"/>
          <w:szCs w:val="21"/>
        </w:rPr>
        <w:t>、掌握绿色可持续物流的重要性</w:t>
      </w:r>
      <w:r>
        <w:rPr>
          <w:rFonts w:eastAsiaTheme="minorEastAsia"/>
          <w:color w:val="000000"/>
          <w:kern w:val="0"/>
          <w:szCs w:val="21"/>
        </w:rPr>
        <w:t>；</w:t>
      </w:r>
    </w:p>
    <w:p>
      <w:pPr>
        <w:numPr>
          <w:ilvl w:val="0"/>
          <w:numId w:val="4"/>
        </w:numPr>
        <w:spacing w:line="400" w:lineRule="exact"/>
        <w:jc w:val="left"/>
        <w:rPr>
          <w:rFonts w:eastAsiaTheme="minorEastAsia"/>
          <w:color w:val="000000"/>
          <w:kern w:val="0"/>
          <w:szCs w:val="21"/>
        </w:rPr>
      </w:pPr>
      <w:r>
        <w:rPr>
          <w:rFonts w:eastAsiaTheme="minorEastAsia"/>
          <w:color w:val="000000"/>
          <w:kern w:val="0"/>
          <w:szCs w:val="21"/>
        </w:rPr>
        <w:t>勇于奋斗、乐观向上，具有自我管理能力、职业生涯规划的意识，有较强的集体意识和团队合作精神；</w:t>
      </w:r>
    </w:p>
    <w:p>
      <w:pPr>
        <w:numPr>
          <w:ilvl w:val="0"/>
          <w:numId w:val="4"/>
        </w:numPr>
        <w:spacing w:line="400" w:lineRule="exact"/>
        <w:jc w:val="left"/>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具有健康的体魄，健全的人格，养成良好的健身与卫生习惯，良好的行为习惯；</w:t>
      </w:r>
    </w:p>
    <w:p>
      <w:pPr>
        <w:numPr>
          <w:ilvl w:val="0"/>
          <w:numId w:val="4"/>
        </w:numPr>
        <w:spacing w:line="400" w:lineRule="exact"/>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具有创新精神与创业意识；</w:t>
      </w:r>
    </w:p>
    <w:p>
      <w:pPr>
        <w:numPr>
          <w:ilvl w:val="0"/>
          <w:numId w:val="4"/>
        </w:numPr>
        <w:spacing w:line="400" w:lineRule="exact"/>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具有物流人的成本意识、服务意识，良好的沟通能力、协调能力、责任担当能力等物流核心职业素养。</w:t>
      </w:r>
    </w:p>
    <w:p>
      <w:pPr>
        <w:spacing w:line="400" w:lineRule="exact"/>
        <w:ind w:firstLine="422" w:firstLineChars="200"/>
        <w:jc w:val="left"/>
        <w:rPr>
          <w:rFonts w:eastAsiaTheme="minorEastAsia"/>
          <w:b/>
          <w:bCs/>
          <w:color w:val="000000"/>
          <w:kern w:val="0"/>
          <w:szCs w:val="21"/>
          <w:highlight w:val="none"/>
        </w:rPr>
      </w:pPr>
      <w:r>
        <w:rPr>
          <w:rFonts w:eastAsiaTheme="minorEastAsia"/>
          <w:b/>
          <w:bCs/>
          <w:color w:val="000000"/>
          <w:kern w:val="0"/>
          <w:szCs w:val="21"/>
          <w:highlight w:val="none"/>
        </w:rPr>
        <w:t>2</w:t>
      </w:r>
      <w:r>
        <w:rPr>
          <w:rFonts w:hint="eastAsia" w:eastAsiaTheme="minorEastAsia"/>
          <w:b/>
          <w:bCs/>
          <w:color w:val="000000"/>
          <w:kern w:val="0"/>
          <w:szCs w:val="21"/>
          <w:highlight w:val="none"/>
          <w:lang w:val="en-US" w:eastAsia="zh-CN"/>
        </w:rPr>
        <w:t xml:space="preserve"> </w:t>
      </w:r>
      <w:r>
        <w:rPr>
          <w:rFonts w:eastAsiaTheme="minorEastAsia"/>
          <w:b/>
          <w:bCs/>
          <w:color w:val="000000"/>
          <w:kern w:val="0"/>
          <w:szCs w:val="21"/>
          <w:highlight w:val="none"/>
        </w:rPr>
        <w:t>知识要求</w:t>
      </w:r>
    </w:p>
    <w:p>
      <w:pPr>
        <w:numPr>
          <w:ilvl w:val="0"/>
          <w:numId w:val="5"/>
        </w:numPr>
        <w:spacing w:line="400" w:lineRule="exact"/>
        <w:jc w:val="left"/>
        <w:rPr>
          <w:rFonts w:eastAsiaTheme="minorEastAsia"/>
          <w:kern w:val="0"/>
          <w:szCs w:val="21"/>
        </w:rPr>
      </w:pPr>
      <w:r>
        <w:rPr>
          <w:rFonts w:hint="eastAsia" w:eastAsiaTheme="minorEastAsia"/>
          <w:kern w:val="0"/>
          <w:szCs w:val="21"/>
        </w:rPr>
        <w:t>掌握物流及物流管理的各种基础知识；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eastAsiaTheme="minorEastAsia"/>
          <w:kern w:val="0"/>
          <w:szCs w:val="21"/>
        </w:rPr>
        <w:t>熟悉</w:t>
      </w:r>
      <w:r>
        <w:rPr>
          <w:rFonts w:hint="eastAsia" w:eastAsiaTheme="minorEastAsia"/>
          <w:kern w:val="0"/>
          <w:szCs w:val="21"/>
        </w:rPr>
        <w:t>本专业相关的法律法规以及环境保护、安全文明生产等相关知识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掌握B2B、B2C等电子商务模式、交易等基础知识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掌握仓储货物的入库检验、入库堆码、在库盘点、库存分析与控制等专业知识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掌握配送中心订单处理、商品拣选、商品包装及分拣等专业知识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掌握RFID、条码、RF手持扫描、仓储管理系统等现代物流信息技术的专业知识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掌握质量控制7大手法等相关专业知识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掌握绩效管理的程序和常用工具如关键绩效指标（KPI）、平衡计分卡（BSC）等</w:t>
      </w:r>
      <w:r>
        <w:rPr>
          <w:rFonts w:eastAsiaTheme="minorEastAsia"/>
          <w:kern w:val="0"/>
          <w:szCs w:val="21"/>
        </w:rPr>
        <w:t>。</w:t>
      </w:r>
    </w:p>
    <w:p>
      <w:pPr>
        <w:spacing w:line="400" w:lineRule="exact"/>
        <w:ind w:firstLine="422" w:firstLineChars="200"/>
        <w:jc w:val="left"/>
        <w:rPr>
          <w:rFonts w:eastAsiaTheme="minorEastAsia"/>
          <w:b/>
          <w:bCs/>
          <w:color w:val="000000"/>
          <w:kern w:val="0"/>
          <w:szCs w:val="21"/>
          <w:highlight w:val="none"/>
        </w:rPr>
      </w:pPr>
      <w:r>
        <w:rPr>
          <w:rFonts w:eastAsiaTheme="minorEastAsia"/>
          <w:b/>
          <w:bCs/>
          <w:color w:val="000000"/>
          <w:kern w:val="0"/>
          <w:szCs w:val="21"/>
          <w:highlight w:val="none"/>
        </w:rPr>
        <w:t>3</w:t>
      </w:r>
      <w:r>
        <w:rPr>
          <w:rFonts w:hint="eastAsia" w:eastAsiaTheme="minorEastAsia"/>
          <w:b/>
          <w:bCs/>
          <w:color w:val="000000"/>
          <w:kern w:val="0"/>
          <w:szCs w:val="21"/>
          <w:highlight w:val="none"/>
          <w:lang w:val="en-US" w:eastAsia="zh-CN"/>
        </w:rPr>
        <w:t xml:space="preserve"> </w:t>
      </w:r>
      <w:r>
        <w:rPr>
          <w:rFonts w:eastAsiaTheme="minorEastAsia"/>
          <w:b/>
          <w:bCs/>
          <w:color w:val="000000"/>
          <w:kern w:val="0"/>
          <w:szCs w:val="21"/>
          <w:highlight w:val="none"/>
        </w:rPr>
        <w:t>专业能力要求</w:t>
      </w:r>
    </w:p>
    <w:p>
      <w:pPr>
        <w:numPr>
          <w:ilvl w:val="0"/>
          <w:numId w:val="6"/>
        </w:numPr>
        <w:spacing w:line="400" w:lineRule="exact"/>
        <w:jc w:val="left"/>
        <w:rPr>
          <w:rFonts w:eastAsiaTheme="minorEastAsia"/>
          <w:kern w:val="0"/>
          <w:szCs w:val="21"/>
        </w:rPr>
      </w:pPr>
      <w:r>
        <w:rPr>
          <w:rFonts w:hint="eastAsia" w:eastAsiaTheme="minorEastAsia"/>
          <w:kern w:val="0"/>
          <w:szCs w:val="21"/>
        </w:rPr>
        <w:t>具有探究学习、终身学习、分析问题和解决问题的能力</w:t>
      </w:r>
      <w:r>
        <w:rPr>
          <w:rFonts w:eastAsiaTheme="minorEastAsia"/>
          <w:kern w:val="0"/>
          <w:szCs w:val="21"/>
        </w:rPr>
        <w:t>；</w:t>
      </w:r>
    </w:p>
    <w:p>
      <w:pPr>
        <w:numPr>
          <w:ilvl w:val="0"/>
          <w:numId w:val="6"/>
        </w:numPr>
        <w:spacing w:line="400" w:lineRule="exact"/>
        <w:jc w:val="left"/>
        <w:rPr>
          <w:rFonts w:eastAsiaTheme="minorEastAsia"/>
          <w:kern w:val="0"/>
          <w:szCs w:val="21"/>
        </w:rPr>
      </w:pPr>
      <w:r>
        <w:rPr>
          <w:rFonts w:hint="eastAsia" w:eastAsiaTheme="minorEastAsia"/>
          <w:kern w:val="0"/>
          <w:szCs w:val="21"/>
        </w:rPr>
        <w:t>具有良好的语言、文字表达能力和沟通能力</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能够熟练地进行仓储货物的验收、入库RF扫描、堆码、分拣、盘点、包装、出库理货、出库验收及仓储成本核算等一线作业</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能够准确根据配送任务制定配送计划、完成配送中心入库、在库管理、出库一线业务操作，能进行简单的配送中心规划</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能够运用5S管理的技术对仓储配送作业现场进行相应的管理</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能够熟练地运用各种现代物流信息技术和装备，如RF手持终端、地牛、高架叉车、WMS仓储管理系统等</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能运用Excel等数据统计工具，对各种运营数据进行相应的处理，并发现运营过程中存在问题的原因，提出对应的解决措施</w:t>
      </w:r>
      <w:r>
        <w:rPr>
          <w:rFonts w:eastAsiaTheme="minorEastAsia"/>
          <w:kern w:val="0"/>
          <w:szCs w:val="21"/>
        </w:rPr>
        <w:t>；</w:t>
      </w:r>
    </w:p>
    <w:p>
      <w:pPr>
        <w:numPr>
          <w:ilvl w:val="0"/>
          <w:numId w:val="5"/>
        </w:numPr>
        <w:spacing w:line="400" w:lineRule="exact"/>
        <w:jc w:val="left"/>
        <w:rPr>
          <w:rFonts w:eastAsiaTheme="minorEastAsia"/>
          <w:kern w:val="0"/>
          <w:szCs w:val="21"/>
        </w:rPr>
      </w:pPr>
      <w:r>
        <w:rPr>
          <w:rFonts w:hint="eastAsia" w:eastAsiaTheme="minorEastAsia"/>
          <w:kern w:val="0"/>
          <w:szCs w:val="21"/>
        </w:rPr>
        <w:t>能运用常见质量管理工具如检查表、排列图、直方图、因果分析图等，对作业现场进行有效地质量控制，以降低作业现场的异常率、提高人员出勤率和生产效率</w:t>
      </w:r>
      <w:r>
        <w:rPr>
          <w:rFonts w:eastAsiaTheme="minorEastAsia"/>
          <w:kern w:val="0"/>
          <w:szCs w:val="21"/>
        </w:rPr>
        <w:t>。</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六、课程设置</w:t>
      </w:r>
    </w:p>
    <w:p>
      <w:pPr>
        <w:spacing w:line="400" w:lineRule="exact"/>
        <w:ind w:firstLine="422" w:firstLineChars="200"/>
        <w:jc w:val="left"/>
        <w:rPr>
          <w:b/>
          <w:bCs/>
          <w:color w:val="000000"/>
          <w:kern w:val="0"/>
          <w:szCs w:val="21"/>
        </w:rPr>
      </w:pPr>
      <w:r>
        <w:rPr>
          <w:b/>
          <w:bCs/>
          <w:color w:val="000000"/>
          <w:kern w:val="0"/>
          <w:szCs w:val="21"/>
        </w:rPr>
        <w:t>（一）课程体系结构</w:t>
      </w:r>
    </w:p>
    <w:p>
      <w:pPr>
        <w:spacing w:line="400" w:lineRule="exact"/>
        <w:ind w:firstLine="420" w:firstLineChars="200"/>
        <w:jc w:val="left"/>
        <w:rPr>
          <w:color w:val="FF0000"/>
          <w:kern w:val="0"/>
          <w:szCs w:val="21"/>
        </w:rPr>
      </w:pPr>
      <w:r>
        <w:rPr>
          <w:color w:val="000000"/>
          <w:kern w:val="0"/>
          <w:szCs w:val="21"/>
        </w:rPr>
        <w:t>依据国家教育政策、教育教学规律和学生认知发展规律，根据岗位群工作任务与职业能力分析结果，结合 1+X 证书制度、模块化课程等教育教学改革方向，构建课程体系。</w:t>
      </w:r>
    </w:p>
    <w:p>
      <w:pPr>
        <w:ind w:firstLine="361" w:firstLineChars="200"/>
        <w:jc w:val="center"/>
      </w:pPr>
      <w:r>
        <w:rPr>
          <w:rFonts w:hint="eastAsia"/>
          <w:b/>
          <w:bCs/>
          <w:sz w:val="18"/>
          <w:szCs w:val="18"/>
        </w:rPr>
        <w:object>
          <v:shape id="_x0000_i1025" o:spt="75" alt="" type="#_x0000_t75" style="height:146.2pt;width:415pt;" o:ole="t" filled="f" o:preferrelative="t" stroked="f" coordsize="21600,21600">
            <v:path/>
            <v:fill on="f" focussize="0,0"/>
            <v:stroke on="f"/>
            <v:imagedata r:id="rId5" o:title=""/>
            <o:lock v:ext="edit" aspectratio="f"/>
            <w10:wrap type="none"/>
            <w10:anchorlock/>
          </v:shape>
          <o:OLEObject Type="Embed" ProgID="Visio.Drawing.11" ShapeID="_x0000_i1025" DrawAspect="Content" ObjectID="_1468075725" r:id="rId4">
            <o:LockedField>false</o:LockedField>
          </o:OLEObject>
        </w:object>
      </w:r>
      <w:r>
        <w:rPr>
          <w:rFonts w:hint="eastAsia"/>
          <w:b/>
          <w:bCs/>
          <w:sz w:val="18"/>
          <w:szCs w:val="18"/>
        </w:rPr>
        <w:t>图1 课程体系</w:t>
      </w:r>
    </w:p>
    <w:p>
      <w:pPr>
        <w:ind w:firstLine="422" w:firstLineChars="200"/>
        <w:jc w:val="left"/>
        <w:rPr>
          <w:b/>
          <w:bCs/>
          <w:color w:val="000000"/>
          <w:kern w:val="0"/>
          <w:szCs w:val="21"/>
        </w:rPr>
      </w:pPr>
      <w:r>
        <w:rPr>
          <w:b/>
          <w:bCs/>
          <w:color w:val="000000"/>
          <w:kern w:val="0"/>
          <w:szCs w:val="21"/>
        </w:rPr>
        <w:t>（二）公共基础课教学内容与要求</w:t>
      </w:r>
      <w:bookmarkStart w:id="2" w:name="_GoBack"/>
      <w:bookmarkEnd w:id="2"/>
    </w:p>
    <w:p>
      <w:pPr>
        <w:pStyle w:val="5"/>
        <w:keepNext/>
        <w:jc w:val="center"/>
        <w:rPr>
          <w:rFonts w:ascii="Times New Roman" w:hAnsi="Times New Roman" w:eastAsia="宋体"/>
          <w:b/>
          <w:bCs/>
          <w:sz w:val="18"/>
          <w:szCs w:val="18"/>
        </w:rPr>
      </w:pPr>
      <w:r>
        <w:rPr>
          <w:rFonts w:ascii="Times New Roman" w:hAnsi="Times New Roman" w:eastAsia="宋体"/>
          <w:b/>
          <w:bCs/>
          <w:sz w:val="18"/>
          <w:szCs w:val="18"/>
        </w:rPr>
        <w:t>表</w:t>
      </w:r>
      <w:r>
        <w:rPr>
          <w:rFonts w:ascii="Times New Roman" w:hAnsi="Times New Roman" w:eastAsia="宋体"/>
          <w:b/>
          <w:bCs/>
          <w:sz w:val="18"/>
          <w:szCs w:val="18"/>
        </w:rPr>
        <w:fldChar w:fldCharType="begin"/>
      </w:r>
      <w:r>
        <w:rPr>
          <w:rFonts w:ascii="Times New Roman" w:hAnsi="Times New Roman" w:eastAsia="宋体"/>
          <w:b/>
          <w:bCs/>
          <w:sz w:val="18"/>
          <w:szCs w:val="18"/>
        </w:rPr>
        <w:instrText xml:space="preserve"> SEQ 表 \* ARABIC </w:instrText>
      </w:r>
      <w:r>
        <w:rPr>
          <w:rFonts w:ascii="Times New Roman" w:hAnsi="Times New Roman" w:eastAsia="宋体"/>
          <w:b/>
          <w:bCs/>
          <w:sz w:val="18"/>
          <w:szCs w:val="18"/>
        </w:rPr>
        <w:fldChar w:fldCharType="separate"/>
      </w:r>
      <w:r>
        <w:rPr>
          <w:rFonts w:ascii="Times New Roman" w:hAnsi="Times New Roman" w:eastAsia="宋体"/>
          <w:b/>
          <w:bCs/>
          <w:sz w:val="18"/>
          <w:szCs w:val="18"/>
        </w:rPr>
        <w:t>4</w:t>
      </w:r>
      <w:r>
        <w:rPr>
          <w:rFonts w:ascii="Times New Roman" w:hAnsi="Times New Roman" w:eastAsia="宋体"/>
          <w:b/>
          <w:bCs/>
          <w:sz w:val="18"/>
          <w:szCs w:val="18"/>
        </w:rPr>
        <w:fldChar w:fldCharType="end"/>
      </w:r>
      <w:r>
        <w:rPr>
          <w:rFonts w:ascii="Times New Roman" w:hAnsi="Times New Roman" w:eastAsia="宋体"/>
          <w:b/>
          <w:bCs/>
          <w:sz w:val="18"/>
          <w:szCs w:val="18"/>
        </w:rPr>
        <w:t>公共基础课</w:t>
      </w:r>
      <w:r>
        <w:rPr>
          <w:rFonts w:hint="eastAsia" w:ascii="Times New Roman" w:hAnsi="Times New Roman" w:eastAsia="宋体"/>
          <w:b/>
          <w:bCs/>
          <w:sz w:val="18"/>
          <w:szCs w:val="18"/>
        </w:rPr>
        <w:t>主要</w:t>
      </w:r>
      <w:r>
        <w:rPr>
          <w:rFonts w:ascii="Times New Roman" w:hAnsi="Times New Roman" w:eastAsia="宋体"/>
          <w:b/>
          <w:bCs/>
          <w:sz w:val="18"/>
          <w:szCs w:val="18"/>
        </w:rPr>
        <w:t>教学内容与要求</w:t>
      </w:r>
    </w:p>
    <w:tbl>
      <w:tblPr>
        <w:tblStyle w:val="13"/>
        <w:tblW w:w="9280"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020"/>
        <w:gridCol w:w="6589"/>
        <w:gridCol w:w="996"/>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shd w:val="clear" w:color="auto" w:fill="F1F1F1" w:themeFill="background1" w:themeFillShade="F2"/>
            <w:vAlign w:val="center"/>
          </w:tcPr>
          <w:p>
            <w:pPr>
              <w:jc w:val="center"/>
              <w:rPr>
                <w:color w:val="000000"/>
                <w:sz w:val="18"/>
                <w:szCs w:val="18"/>
              </w:rPr>
            </w:pPr>
            <w:r>
              <w:rPr>
                <w:color w:val="000000"/>
                <w:sz w:val="18"/>
                <w:szCs w:val="18"/>
              </w:rPr>
              <w:t>序号</w:t>
            </w:r>
          </w:p>
        </w:tc>
        <w:tc>
          <w:tcPr>
            <w:tcW w:w="1020" w:type="dxa"/>
            <w:shd w:val="clear" w:color="auto" w:fill="F1F1F1" w:themeFill="background1" w:themeFillShade="F2"/>
            <w:vAlign w:val="center"/>
          </w:tcPr>
          <w:p>
            <w:pPr>
              <w:jc w:val="center"/>
              <w:rPr>
                <w:color w:val="000000"/>
                <w:sz w:val="18"/>
                <w:szCs w:val="18"/>
              </w:rPr>
            </w:pPr>
            <w:r>
              <w:rPr>
                <w:color w:val="000000"/>
                <w:sz w:val="18"/>
                <w:szCs w:val="18"/>
              </w:rPr>
              <w:t>课程名称</w:t>
            </w:r>
          </w:p>
        </w:tc>
        <w:tc>
          <w:tcPr>
            <w:tcW w:w="6589" w:type="dxa"/>
            <w:shd w:val="clear" w:color="auto" w:fill="F1F1F1" w:themeFill="background1" w:themeFillShade="F2"/>
            <w:vAlign w:val="center"/>
          </w:tcPr>
          <w:p>
            <w:pPr>
              <w:jc w:val="center"/>
              <w:rPr>
                <w:color w:val="000000"/>
                <w:sz w:val="18"/>
                <w:szCs w:val="18"/>
              </w:rPr>
            </w:pPr>
            <w:r>
              <w:rPr>
                <w:color w:val="000000"/>
                <w:sz w:val="18"/>
                <w:szCs w:val="18"/>
              </w:rPr>
              <w:t>主要内容要求</w:t>
            </w:r>
          </w:p>
        </w:tc>
        <w:tc>
          <w:tcPr>
            <w:tcW w:w="996" w:type="dxa"/>
            <w:shd w:val="clear" w:color="auto" w:fill="F1F1F1" w:themeFill="background1" w:themeFillShade="F2"/>
            <w:vAlign w:val="center"/>
          </w:tcPr>
          <w:p>
            <w:pPr>
              <w:jc w:val="center"/>
              <w:rPr>
                <w:color w:val="000000"/>
                <w:sz w:val="18"/>
                <w:szCs w:val="18"/>
              </w:rPr>
            </w:pPr>
            <w:r>
              <w:rPr>
                <w:color w:val="000000"/>
                <w:sz w:val="18"/>
                <w:szCs w:val="18"/>
              </w:rPr>
              <w:t>学分/学时</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ascii="宋体" w:hAnsi="宋体"/>
                <w:sz w:val="18"/>
                <w:szCs w:val="18"/>
              </w:rPr>
              <w:t>1</w:t>
            </w:r>
          </w:p>
        </w:tc>
        <w:tc>
          <w:tcPr>
            <w:tcW w:w="1020" w:type="dxa"/>
            <w:vAlign w:val="center"/>
          </w:tcPr>
          <w:p>
            <w:pPr>
              <w:spacing w:line="240" w:lineRule="exact"/>
              <w:jc w:val="center"/>
              <w:rPr>
                <w:sz w:val="18"/>
                <w:szCs w:val="18"/>
              </w:rPr>
            </w:pPr>
            <w:r>
              <w:rPr>
                <w:rFonts w:hint="eastAsia" w:ascii="宋体" w:hAnsi="宋体"/>
                <w:sz w:val="18"/>
                <w:szCs w:val="18"/>
              </w:rPr>
              <w:t>军事技能</w:t>
            </w:r>
          </w:p>
        </w:tc>
        <w:tc>
          <w:tcPr>
            <w:tcW w:w="6589" w:type="dxa"/>
            <w:vAlign w:val="center"/>
          </w:tcPr>
          <w:p>
            <w:pPr>
              <w:spacing w:line="240" w:lineRule="exact"/>
              <w:ind w:firstLine="354" w:firstLineChars="196"/>
              <w:rPr>
                <w:rFonts w:ascii="宋体" w:hAnsi="宋体"/>
                <w:sz w:val="18"/>
                <w:szCs w:val="18"/>
              </w:rPr>
            </w:pPr>
            <w:r>
              <w:rPr>
                <w:rFonts w:hint="eastAsia" w:ascii="宋体" w:hAnsi="宋体"/>
                <w:b/>
                <w:bCs/>
                <w:sz w:val="18"/>
                <w:szCs w:val="18"/>
              </w:rPr>
              <w:t>主要内容：</w:t>
            </w:r>
            <w:r>
              <w:rPr>
                <w:rFonts w:hint="eastAsia" w:ascii="宋体" w:hAnsi="宋体"/>
                <w:sz w:val="18"/>
                <w:szCs w:val="18"/>
              </w:rPr>
              <w:t>内务条令、纪律条令、队列条令教育；单个军人队列动作、分队的队列动作、战术基础动作；射击与战术训练、防卫技能与战时防护训练；军体拳、战备基础与应用训练。</w:t>
            </w:r>
          </w:p>
          <w:p>
            <w:pPr>
              <w:spacing w:line="240" w:lineRule="exact"/>
              <w:ind w:firstLine="354" w:firstLineChars="196"/>
              <w:rPr>
                <w:sz w:val="18"/>
                <w:szCs w:val="18"/>
              </w:rPr>
            </w:pPr>
            <w:r>
              <w:rPr>
                <w:rFonts w:hint="eastAsia" w:ascii="宋体" w:hAnsi="宋体"/>
                <w:b/>
                <w:bCs/>
                <w:sz w:val="18"/>
                <w:szCs w:val="18"/>
              </w:rPr>
              <w:t>教学要求：</w:t>
            </w:r>
            <w:r>
              <w:rPr>
                <w:rFonts w:hint="eastAsia" w:ascii="宋体" w:hAnsi="宋体"/>
                <w:sz w:val="18"/>
                <w:szCs w:val="18"/>
              </w:rPr>
              <w:t>掌握基本的军事技能和军事素质，有良好的体魄、严明的组织纪律性、强烈的爱国热情、善于合作的团队精神，为中国人民解放军训练后备兵员和培养预备役军官奠定基础。</w:t>
            </w:r>
          </w:p>
        </w:tc>
        <w:tc>
          <w:tcPr>
            <w:tcW w:w="996" w:type="dxa"/>
            <w:vAlign w:val="center"/>
          </w:tcPr>
          <w:p>
            <w:pPr>
              <w:spacing w:line="240" w:lineRule="exact"/>
              <w:jc w:val="center"/>
              <w:rPr>
                <w:color w:val="FF0000"/>
                <w:sz w:val="18"/>
                <w:szCs w:val="18"/>
              </w:rPr>
            </w:pPr>
            <w:r>
              <w:rPr>
                <w:rFonts w:hint="eastAsia" w:ascii="宋体" w:hAnsi="宋体"/>
                <w:sz w:val="18"/>
                <w:szCs w:val="18"/>
              </w:rPr>
              <w:t>2/112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75" w:type="dxa"/>
            <w:vAlign w:val="center"/>
          </w:tcPr>
          <w:p>
            <w:pPr>
              <w:jc w:val="center"/>
              <w:rPr>
                <w:sz w:val="18"/>
                <w:szCs w:val="18"/>
              </w:rPr>
            </w:pPr>
            <w:r>
              <w:rPr>
                <w:rFonts w:hint="eastAsia" w:ascii="宋体" w:hAnsi="宋体"/>
                <w:sz w:val="18"/>
                <w:szCs w:val="18"/>
              </w:rPr>
              <w:t>2</w:t>
            </w:r>
          </w:p>
        </w:tc>
        <w:tc>
          <w:tcPr>
            <w:tcW w:w="1020" w:type="dxa"/>
            <w:vAlign w:val="center"/>
          </w:tcPr>
          <w:p>
            <w:pPr>
              <w:jc w:val="center"/>
              <w:rPr>
                <w:sz w:val="18"/>
                <w:szCs w:val="18"/>
              </w:rPr>
            </w:pPr>
            <w:r>
              <w:rPr>
                <w:rFonts w:hint="eastAsia"/>
                <w:color w:val="000000"/>
                <w:sz w:val="18"/>
                <w:szCs w:val="18"/>
              </w:rPr>
              <w:t>军事理论</w:t>
            </w:r>
          </w:p>
        </w:tc>
        <w:tc>
          <w:tcPr>
            <w:tcW w:w="6589" w:type="dxa"/>
            <w:vAlign w:val="center"/>
          </w:tcPr>
          <w:p>
            <w:pPr>
              <w:ind w:firstLine="361" w:firstLineChars="200"/>
              <w:rPr>
                <w:color w:val="000000"/>
                <w:sz w:val="18"/>
                <w:szCs w:val="18"/>
              </w:rPr>
            </w:pPr>
            <w:r>
              <w:rPr>
                <w:rFonts w:hint="eastAsia"/>
                <w:b/>
                <w:bCs/>
                <w:color w:val="000000"/>
                <w:sz w:val="18"/>
                <w:szCs w:val="18"/>
              </w:rPr>
              <w:t>主要内容：</w:t>
            </w:r>
            <w:r>
              <w:rPr>
                <w:color w:val="000000"/>
                <w:sz w:val="18"/>
                <w:szCs w:val="18"/>
              </w:rPr>
              <w:t>国防概述、</w:t>
            </w:r>
            <w:r>
              <w:rPr>
                <w:rFonts w:hint="eastAsia"/>
                <w:color w:val="000000"/>
                <w:sz w:val="18"/>
                <w:szCs w:val="18"/>
              </w:rPr>
              <w:t>国防法规、国防义务和权力、国防建设、武装力量和国防动员；安全形势及国际战略形势；世界新军事革命及古今中外军事思想；新军事革命、机械化战争和信息化战争；信息化装备、信息化作战平台、综合电子信息系统和信息化杀伤武器。</w:t>
            </w:r>
          </w:p>
          <w:p>
            <w:pPr>
              <w:ind w:firstLine="361" w:firstLineChars="200"/>
              <w:rPr>
                <w:sz w:val="18"/>
                <w:szCs w:val="18"/>
              </w:rPr>
            </w:pPr>
            <w:r>
              <w:rPr>
                <w:rFonts w:hint="eastAsia"/>
                <w:b/>
                <w:bCs/>
                <w:color w:val="000000"/>
                <w:sz w:val="18"/>
                <w:szCs w:val="18"/>
              </w:rPr>
              <w:t>教学要求：</w:t>
            </w:r>
            <w:r>
              <w:rPr>
                <w:rFonts w:hint="eastAsia"/>
                <w:color w:val="000000"/>
                <w:sz w:val="18"/>
                <w:szCs w:val="18"/>
              </w:rPr>
              <w:t>掌握军事基础知识，增强国防观念、国家安全意识和忧患危机意识，弘扬爱国主义精神、传承红色基因，增强爱国主义，民族主义、集体主义观念，加强纪律性，提高学生综合国防素质。</w:t>
            </w:r>
          </w:p>
        </w:tc>
        <w:tc>
          <w:tcPr>
            <w:tcW w:w="996" w:type="dxa"/>
            <w:vAlign w:val="center"/>
          </w:tcPr>
          <w:p>
            <w:pPr>
              <w:spacing w:line="240" w:lineRule="exact"/>
              <w:jc w:val="center"/>
              <w:rPr>
                <w:color w:val="000000"/>
                <w:sz w:val="18"/>
                <w:szCs w:val="18"/>
              </w:rPr>
            </w:pPr>
            <w:r>
              <w:rPr>
                <w:rFonts w:hint="eastAsia" w:ascii="宋体" w:hAnsi="宋体"/>
                <w:sz w:val="18"/>
                <w:szCs w:val="18"/>
              </w:rPr>
              <w:t>2/36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ascii="宋体" w:hAnsi="宋体"/>
                <w:sz w:val="18"/>
                <w:szCs w:val="18"/>
              </w:rPr>
              <w:t>3</w:t>
            </w:r>
          </w:p>
        </w:tc>
        <w:tc>
          <w:tcPr>
            <w:tcW w:w="1020" w:type="dxa"/>
            <w:vAlign w:val="center"/>
          </w:tcPr>
          <w:p>
            <w:pPr>
              <w:jc w:val="center"/>
              <w:rPr>
                <w:sz w:val="18"/>
                <w:szCs w:val="18"/>
              </w:rPr>
            </w:pPr>
            <w:r>
              <w:rPr>
                <w:rFonts w:hint="eastAsia"/>
                <w:color w:val="000000"/>
                <w:sz w:val="18"/>
                <w:szCs w:val="18"/>
              </w:rPr>
              <w:t>思想道德与法治</w:t>
            </w:r>
          </w:p>
        </w:tc>
        <w:tc>
          <w:tcPr>
            <w:tcW w:w="6589" w:type="dxa"/>
            <w:vAlign w:val="center"/>
          </w:tcPr>
          <w:p>
            <w:pPr>
              <w:ind w:firstLine="361" w:firstLineChars="200"/>
              <w:rPr>
                <w:color w:val="000000"/>
                <w:sz w:val="18"/>
                <w:szCs w:val="18"/>
              </w:rPr>
            </w:pPr>
            <w:r>
              <w:rPr>
                <w:rFonts w:hint="eastAsia"/>
                <w:b/>
                <w:bCs/>
                <w:color w:val="000000"/>
                <w:sz w:val="18"/>
                <w:szCs w:val="18"/>
              </w:rPr>
              <w:t>主要内容：</w:t>
            </w:r>
            <w:r>
              <w:rPr>
                <w:rFonts w:hint="eastAsia"/>
                <w:color w:val="000000"/>
                <w:sz w:val="18"/>
                <w:szCs w:val="18"/>
              </w:rPr>
              <w:t>马克思主义的人生观、价值观、道德观、法治观，社会主义核心价值观与社会主义法治建设的关系，帮助学生筑牢理想信念之基，培育和践行社会主义核心价值观，传承中华传统美德，弘扬中国精神，尊重和维护宪法法律权威，提升思想道德素质和法治素养。</w:t>
            </w:r>
          </w:p>
          <w:p>
            <w:pPr>
              <w:ind w:firstLine="361" w:firstLineChars="200"/>
              <w:rPr>
                <w:sz w:val="18"/>
                <w:szCs w:val="18"/>
              </w:rPr>
            </w:pPr>
            <w:r>
              <w:rPr>
                <w:rFonts w:hint="eastAsia"/>
                <w:b/>
                <w:bCs/>
                <w:color w:val="000000"/>
                <w:sz w:val="18"/>
                <w:szCs w:val="18"/>
              </w:rPr>
              <w:t>教学要求：</w:t>
            </w:r>
            <w:r>
              <w:rPr>
                <w:rFonts w:hint="eastAsia"/>
                <w:color w:val="000000"/>
                <w:sz w:val="18"/>
                <w:szCs w:val="18"/>
              </w:rPr>
              <w:t>针对大学生成长过程中面临的思想道德与法治问题，开展马克思主义的人生观、价值观、道德观、法治观教育，帮助大学生提升思想道德素质和法治素养，成长为自觉担当民族复兴大任的时代新人。</w:t>
            </w:r>
          </w:p>
        </w:tc>
        <w:tc>
          <w:tcPr>
            <w:tcW w:w="996" w:type="dxa"/>
            <w:vAlign w:val="center"/>
          </w:tcPr>
          <w:p>
            <w:pPr>
              <w:spacing w:line="240" w:lineRule="exact"/>
              <w:jc w:val="center"/>
              <w:rPr>
                <w:color w:val="000000"/>
                <w:sz w:val="18"/>
                <w:szCs w:val="18"/>
              </w:rPr>
            </w:pPr>
            <w:r>
              <w:rPr>
                <w:rFonts w:hint="eastAsia" w:ascii="宋体" w:hAnsi="宋体"/>
                <w:sz w:val="18"/>
                <w:szCs w:val="18"/>
              </w:rPr>
              <w:t>3/48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rFonts w:ascii="华文仿宋" w:hAnsi="华文仿宋" w:eastAsia="华文仿宋"/>
                <w:sz w:val="18"/>
                <w:szCs w:val="18"/>
              </w:rPr>
            </w:pPr>
            <w:r>
              <w:rPr>
                <w:rFonts w:hint="eastAsia" w:ascii="宋体" w:hAnsi="宋体" w:eastAsia="华文仿宋"/>
                <w:sz w:val="18"/>
                <w:szCs w:val="18"/>
              </w:rPr>
              <w:t>4</w:t>
            </w:r>
          </w:p>
        </w:tc>
        <w:tc>
          <w:tcPr>
            <w:tcW w:w="1020" w:type="dxa"/>
            <w:vAlign w:val="center"/>
          </w:tcPr>
          <w:p>
            <w:pPr>
              <w:jc w:val="center"/>
              <w:rPr>
                <w:rFonts w:ascii="宋体" w:hAnsi="宋体"/>
                <w:sz w:val="18"/>
                <w:szCs w:val="18"/>
              </w:rPr>
            </w:pPr>
            <w:r>
              <w:rPr>
                <w:rFonts w:hint="eastAsia"/>
                <w:color w:val="000000"/>
                <w:sz w:val="18"/>
                <w:szCs w:val="18"/>
              </w:rPr>
              <w:t>毛泽东思想和中国特色社会主义理论体系概论</w:t>
            </w:r>
          </w:p>
        </w:tc>
        <w:tc>
          <w:tcPr>
            <w:tcW w:w="6589" w:type="dxa"/>
            <w:vAlign w:val="center"/>
          </w:tcPr>
          <w:p>
            <w:pPr>
              <w:ind w:firstLine="361" w:firstLineChars="200"/>
              <w:rPr>
                <w:color w:val="000000"/>
                <w:sz w:val="18"/>
                <w:szCs w:val="18"/>
              </w:rPr>
            </w:pPr>
            <w:r>
              <w:rPr>
                <w:rFonts w:hint="eastAsia"/>
                <w:b/>
                <w:bCs/>
                <w:color w:val="000000"/>
                <w:sz w:val="18"/>
                <w:szCs w:val="18"/>
              </w:rPr>
              <w:t>主要内容：</w:t>
            </w:r>
            <w:r>
              <w:rPr>
                <w:rFonts w:hint="eastAsia"/>
                <w:color w:val="000000"/>
                <w:sz w:val="18"/>
                <w:szCs w:val="18"/>
              </w:rPr>
              <w:t>以马克思主义中国化</w:t>
            </w:r>
            <w:r>
              <w:rPr>
                <w:color w:val="000000"/>
                <w:sz w:val="18"/>
                <w:szCs w:val="18"/>
              </w:rPr>
              <w:t>时代化</w:t>
            </w:r>
            <w:r>
              <w:rPr>
                <w:rFonts w:hint="eastAsia"/>
                <w:color w:val="000000"/>
                <w:sz w:val="18"/>
                <w:szCs w:val="18"/>
              </w:rPr>
              <w:t>为主线，集中阐述马克思主义中国化</w:t>
            </w:r>
            <w:r>
              <w:rPr>
                <w:color w:val="000000"/>
                <w:sz w:val="18"/>
                <w:szCs w:val="18"/>
              </w:rPr>
              <w:t>时代化的</w:t>
            </w:r>
            <w:r>
              <w:rPr>
                <w:rFonts w:hint="eastAsia"/>
                <w:color w:val="000000"/>
                <w:sz w:val="18"/>
                <w:szCs w:val="18"/>
              </w:rPr>
              <w:t>理论成果的形成过程、主要内容、精神实质、历史地位和指导意义，充分反映中国共产党不断推进马克思主义基本原理同中国具体实际相结合、同中华优秀传统文化相结合的历史进程和基本经验。</w:t>
            </w:r>
            <w:r>
              <w:rPr>
                <w:color w:val="000000"/>
                <w:sz w:val="18"/>
                <w:szCs w:val="18"/>
              </w:rPr>
              <w:t>本课程重点阐述毛泽东思想、邓小平理论、“三个代表”重要思想和科学发展观。马克思主义中国化时代化的最新理论成果——习近平新时达中国特色社会主义思想将在其他课程中另行系统阐述。</w:t>
            </w:r>
          </w:p>
          <w:p>
            <w:pPr>
              <w:ind w:firstLine="361" w:firstLineChars="200"/>
              <w:rPr>
                <w:sz w:val="18"/>
                <w:szCs w:val="18"/>
              </w:rPr>
            </w:pPr>
            <w:r>
              <w:rPr>
                <w:rFonts w:hint="eastAsia"/>
                <w:b/>
                <w:bCs/>
                <w:color w:val="000000"/>
                <w:sz w:val="18"/>
                <w:szCs w:val="18"/>
              </w:rPr>
              <w:t>教学要求：</w:t>
            </w:r>
            <w:r>
              <w:rPr>
                <w:rFonts w:hint="eastAsia"/>
                <w:color w:val="000000"/>
                <w:sz w:val="18"/>
                <w:szCs w:val="18"/>
              </w:rPr>
              <w:t>准确把握马克思主义中国化进程中形成的理论成果及其精神实质；加深学生对中国共产党领导人民进行的革命、建设、改革的历史进程、历史变革、历史成就的更深刻认识；对中国共产党在新时代坚持的基本理论、基本路线、基本方略有更加透彻的理解；对运用马克思主义立场、观点和方法认识问题、分析问题和解决问题能力的提升有更加切实的帮助。</w:t>
            </w:r>
          </w:p>
        </w:tc>
        <w:tc>
          <w:tcPr>
            <w:tcW w:w="996" w:type="dxa"/>
            <w:vAlign w:val="center"/>
          </w:tcPr>
          <w:p>
            <w:pPr>
              <w:spacing w:line="240" w:lineRule="exact"/>
              <w:jc w:val="center"/>
              <w:rPr>
                <w:rFonts w:ascii="宋体" w:hAnsi="宋体"/>
                <w:sz w:val="18"/>
                <w:szCs w:val="18"/>
              </w:rPr>
            </w:pPr>
            <w:r>
              <w:rPr>
                <w:rFonts w:hint="eastAsia" w:ascii="宋体" w:hAnsi="宋体"/>
                <w:sz w:val="18"/>
                <w:szCs w:val="18"/>
              </w:rPr>
              <w:t>2/36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rFonts w:ascii="宋体" w:hAnsi="宋体" w:cs="宋体"/>
                <w:sz w:val="18"/>
                <w:szCs w:val="18"/>
              </w:rPr>
            </w:pPr>
            <w:r>
              <w:rPr>
                <w:rFonts w:hint="eastAsia" w:ascii="宋体" w:hAnsi="宋体" w:cs="宋体"/>
                <w:sz w:val="18"/>
                <w:szCs w:val="18"/>
              </w:rPr>
              <w:t>5</w:t>
            </w:r>
          </w:p>
        </w:tc>
        <w:tc>
          <w:tcPr>
            <w:tcW w:w="1020" w:type="dxa"/>
            <w:vAlign w:val="center"/>
          </w:tcPr>
          <w:p>
            <w:pPr>
              <w:jc w:val="center"/>
              <w:rPr>
                <w:rFonts w:ascii="宋体" w:hAnsi="宋体" w:cs="宋体"/>
                <w:sz w:val="18"/>
                <w:szCs w:val="18"/>
              </w:rPr>
            </w:pPr>
            <w:r>
              <w:rPr>
                <w:rFonts w:hint="eastAsia"/>
                <w:color w:val="000000"/>
                <w:sz w:val="18"/>
                <w:szCs w:val="18"/>
              </w:rPr>
              <w:t>习近平新时代中国特色社会主义思想概论</w:t>
            </w:r>
          </w:p>
        </w:tc>
        <w:tc>
          <w:tcPr>
            <w:tcW w:w="6589" w:type="dxa"/>
            <w:vAlign w:val="center"/>
          </w:tcPr>
          <w:p>
            <w:pPr>
              <w:widowControl/>
              <w:ind w:firstLine="361" w:firstLineChars="200"/>
              <w:rPr>
                <w:rFonts w:ascii="宋体" w:hAnsi="宋体" w:cs="宋体"/>
                <w:sz w:val="18"/>
                <w:szCs w:val="18"/>
                <w:lang w:bidi="ar"/>
              </w:rPr>
            </w:pPr>
            <w:r>
              <w:rPr>
                <w:rFonts w:hint="eastAsia" w:ascii="宋体" w:hAnsi="宋体" w:cs="宋体"/>
                <w:b/>
                <w:bCs/>
                <w:sz w:val="18"/>
                <w:szCs w:val="18"/>
              </w:rPr>
              <w:t>主要内容：</w:t>
            </w:r>
            <w:r>
              <w:rPr>
                <w:rFonts w:hint="eastAsia" w:ascii="宋体" w:hAnsi="宋体" w:cs="宋体"/>
                <w:sz w:val="18"/>
                <w:szCs w:val="18"/>
                <w:lang w:bidi="ar"/>
              </w:rPr>
              <w:t>以马克思主义中国化</w:t>
            </w:r>
            <w:r>
              <w:rPr>
                <w:rFonts w:ascii="宋体" w:hAnsi="宋体" w:cs="宋体"/>
                <w:sz w:val="18"/>
                <w:szCs w:val="18"/>
                <w:lang w:bidi="ar"/>
              </w:rPr>
              <w:t>时代化</w:t>
            </w:r>
            <w:r>
              <w:rPr>
                <w:rFonts w:hint="eastAsia" w:ascii="宋体" w:hAnsi="宋体" w:cs="宋体"/>
                <w:sz w:val="18"/>
                <w:szCs w:val="18"/>
                <w:lang w:bidi="ar"/>
              </w:rPr>
              <w:t>为主线，</w:t>
            </w:r>
            <w:r>
              <w:rPr>
                <w:rFonts w:ascii="宋体" w:hAnsi="宋体" w:cs="宋体"/>
                <w:sz w:val="18"/>
                <w:szCs w:val="18"/>
                <w:lang w:bidi="ar"/>
              </w:rPr>
              <w:t>全面系统</w:t>
            </w:r>
            <w:r>
              <w:rPr>
                <w:rFonts w:hint="eastAsia" w:ascii="宋体" w:hAnsi="宋体" w:cs="宋体"/>
                <w:sz w:val="18"/>
                <w:szCs w:val="18"/>
                <w:lang w:bidi="ar"/>
              </w:rPr>
              <w:t>阐述马克思主义中国化</w:t>
            </w:r>
            <w:r>
              <w:rPr>
                <w:rFonts w:ascii="宋体" w:hAnsi="宋体" w:cs="宋体"/>
                <w:sz w:val="18"/>
                <w:szCs w:val="18"/>
                <w:lang w:bidi="ar"/>
              </w:rPr>
              <w:t>时代化最新</w:t>
            </w:r>
            <w:r>
              <w:rPr>
                <w:rFonts w:hint="eastAsia" w:ascii="宋体" w:hAnsi="宋体" w:cs="宋体"/>
                <w:sz w:val="18"/>
                <w:szCs w:val="18"/>
                <w:lang w:bidi="ar"/>
              </w:rPr>
              <w:t>理论成果</w:t>
            </w:r>
            <w:r>
              <w:rPr>
                <w:rFonts w:ascii="宋体" w:hAnsi="宋体" w:cs="宋体"/>
                <w:sz w:val="18"/>
                <w:szCs w:val="18"/>
                <w:lang w:bidi="ar"/>
              </w:rPr>
              <w:t>——习近平新时代中国特色社会主义思想</w:t>
            </w:r>
            <w:r>
              <w:rPr>
                <w:rFonts w:hint="eastAsia" w:ascii="宋体" w:hAnsi="宋体" w:cs="宋体"/>
                <w:sz w:val="18"/>
                <w:szCs w:val="18"/>
                <w:lang w:bidi="ar"/>
              </w:rPr>
              <w:t>的</w:t>
            </w:r>
            <w:r>
              <w:rPr>
                <w:rFonts w:ascii="宋体" w:hAnsi="宋体" w:cs="宋体"/>
                <w:sz w:val="18"/>
                <w:szCs w:val="18"/>
                <w:lang w:bidi="ar"/>
              </w:rPr>
              <w:t>核心要义</w:t>
            </w:r>
            <w:r>
              <w:rPr>
                <w:rFonts w:hint="eastAsia" w:ascii="宋体" w:hAnsi="宋体" w:cs="宋体"/>
                <w:sz w:val="18"/>
                <w:szCs w:val="18"/>
                <w:lang w:bidi="ar"/>
              </w:rPr>
              <w:t>、精神实质、</w:t>
            </w:r>
            <w:r>
              <w:rPr>
                <w:rFonts w:ascii="宋体" w:hAnsi="宋体" w:cs="宋体"/>
                <w:sz w:val="18"/>
                <w:szCs w:val="18"/>
                <w:lang w:bidi="ar"/>
              </w:rPr>
              <w:t>丰富内涵、实践要求</w:t>
            </w:r>
            <w:r>
              <w:rPr>
                <w:rFonts w:hint="eastAsia" w:ascii="宋体" w:hAnsi="宋体" w:cs="宋体"/>
                <w:sz w:val="18"/>
                <w:szCs w:val="18"/>
                <w:lang w:bidi="ar"/>
              </w:rPr>
              <w:t>，充分反映中国共产党不断推进马克思主义基本原理同中国具体实际相结合、同中华优秀传统文化相结合的历史进程和基本经验</w:t>
            </w:r>
            <w:r>
              <w:rPr>
                <w:rFonts w:ascii="宋体" w:hAnsi="宋体" w:cs="宋体"/>
                <w:sz w:val="18"/>
                <w:szCs w:val="18"/>
                <w:lang w:bidi="ar"/>
              </w:rPr>
              <w:t>，</w:t>
            </w:r>
            <w:r>
              <w:rPr>
                <w:rFonts w:hint="eastAsia" w:ascii="宋体" w:hAnsi="宋体" w:cs="宋体"/>
                <w:sz w:val="18"/>
                <w:szCs w:val="18"/>
                <w:lang w:bidi="ar"/>
              </w:rPr>
              <w:t>全面把握中国特色社会主义进入新时代，</w:t>
            </w:r>
            <w:r>
              <w:rPr>
                <w:rFonts w:ascii="宋体" w:hAnsi="宋体" w:cs="宋体"/>
                <w:sz w:val="18"/>
                <w:szCs w:val="18"/>
                <w:lang w:bidi="ar"/>
              </w:rPr>
              <w:t>集中展现</w:t>
            </w:r>
            <w:r>
              <w:rPr>
                <w:rFonts w:hint="eastAsia" w:ascii="宋体" w:hAnsi="宋体" w:cs="宋体"/>
                <w:sz w:val="18"/>
                <w:szCs w:val="18"/>
                <w:lang w:bidi="ar"/>
              </w:rPr>
              <w:t>实现全面建设社会主义现代化强国、中华民族伟大复兴中国梦的战略部署。</w:t>
            </w:r>
          </w:p>
          <w:p>
            <w:pPr>
              <w:ind w:firstLine="361" w:firstLineChars="200"/>
              <w:rPr>
                <w:rFonts w:ascii="宋体" w:hAnsi="宋体" w:cs="宋体"/>
                <w:b/>
                <w:bCs/>
                <w:sz w:val="18"/>
                <w:szCs w:val="18"/>
              </w:rPr>
            </w:pPr>
            <w:r>
              <w:rPr>
                <w:rFonts w:hint="eastAsia" w:ascii="宋体" w:hAnsi="宋体" w:cs="宋体"/>
                <w:b/>
                <w:bCs/>
                <w:sz w:val="18"/>
                <w:szCs w:val="18"/>
              </w:rPr>
              <w:t>教学要求：</w:t>
            </w:r>
            <w:r>
              <w:rPr>
                <w:rFonts w:ascii="宋体" w:hAnsi="宋体" w:cs="宋体"/>
                <w:sz w:val="18"/>
                <w:szCs w:val="18"/>
              </w:rPr>
              <w:t>帮助大学生深入学习领会习近平新时代中国特色社会主义思想的核心要义、精神实质、丰富内涵、实践要求，</w:t>
            </w:r>
            <w:r>
              <w:rPr>
                <w:sz w:val="18"/>
                <w:szCs w:val="18"/>
              </w:rPr>
              <w:t>进一步增强大学生的“四个意识”，坚定“四个自信”，做到“两个维护”。</w:t>
            </w:r>
          </w:p>
        </w:tc>
        <w:tc>
          <w:tcPr>
            <w:tcW w:w="996" w:type="dxa"/>
            <w:vAlign w:val="center"/>
          </w:tcPr>
          <w:p>
            <w:pPr>
              <w:jc w:val="center"/>
              <w:rPr>
                <w:rFonts w:ascii="宋体" w:hAnsi="宋体" w:cs="宋体"/>
                <w:sz w:val="18"/>
                <w:szCs w:val="18"/>
              </w:rPr>
            </w:pPr>
            <w:r>
              <w:rPr>
                <w:rFonts w:hint="eastAsia" w:ascii="宋体" w:hAnsi="宋体" w:cs="宋体"/>
                <w:sz w:val="18"/>
                <w:szCs w:val="18"/>
              </w:rPr>
              <w:t>3/48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6</w:t>
            </w:r>
          </w:p>
        </w:tc>
        <w:tc>
          <w:tcPr>
            <w:tcW w:w="1020" w:type="dxa"/>
            <w:vAlign w:val="center"/>
          </w:tcPr>
          <w:p>
            <w:pPr>
              <w:jc w:val="center"/>
              <w:rPr>
                <w:rFonts w:ascii="宋体" w:hAnsi="宋体"/>
                <w:sz w:val="18"/>
                <w:szCs w:val="18"/>
              </w:rPr>
            </w:pPr>
            <w:r>
              <w:rPr>
                <w:rFonts w:hint="eastAsia"/>
                <w:color w:val="000000"/>
                <w:sz w:val="18"/>
                <w:szCs w:val="18"/>
              </w:rPr>
              <w:t>形势与政策</w:t>
            </w:r>
          </w:p>
        </w:tc>
        <w:tc>
          <w:tcPr>
            <w:tcW w:w="6589" w:type="dxa"/>
            <w:vAlign w:val="center"/>
          </w:tcPr>
          <w:p>
            <w:pPr>
              <w:ind w:firstLine="361" w:firstLineChars="200"/>
              <w:rPr>
                <w:color w:val="000000"/>
                <w:sz w:val="18"/>
                <w:szCs w:val="18"/>
              </w:rPr>
            </w:pPr>
            <w:r>
              <w:rPr>
                <w:rFonts w:hint="eastAsia"/>
                <w:b/>
                <w:bCs/>
                <w:color w:val="000000"/>
                <w:sz w:val="18"/>
                <w:szCs w:val="18"/>
              </w:rPr>
              <w:t>主要内容：</w:t>
            </w:r>
            <w:r>
              <w:rPr>
                <w:rFonts w:hint="eastAsia"/>
                <w:color w:val="000000"/>
                <w:sz w:val="18"/>
                <w:szCs w:val="18"/>
              </w:rPr>
              <w:t>党的理论创新最新成果，新时代坚持和发展中国特色社会主义的生动实践，马克思主义形势观政策观、党的路线方针政策、基本国情、国内外形势及其热点难点问题。</w:t>
            </w:r>
          </w:p>
          <w:p>
            <w:pPr>
              <w:ind w:firstLine="361" w:firstLineChars="200"/>
              <w:rPr>
                <w:rFonts w:ascii="宋体" w:hAnsi="宋体"/>
                <w:sz w:val="18"/>
                <w:szCs w:val="18"/>
              </w:rPr>
            </w:pPr>
            <w:r>
              <w:rPr>
                <w:rFonts w:hint="eastAsia"/>
                <w:b/>
                <w:bCs/>
                <w:color w:val="000000"/>
                <w:sz w:val="18"/>
                <w:szCs w:val="18"/>
              </w:rPr>
              <w:t>教学要求：</w:t>
            </w:r>
            <w:r>
              <w:rPr>
                <w:rFonts w:hint="eastAsia"/>
                <w:color w:val="000000"/>
                <w:sz w:val="18"/>
                <w:szCs w:val="18"/>
              </w:rPr>
              <w:t>正确认识党和国家面临的形势和任务，正确认识国情，理解党的路线、方针和政策。具有一定正确分析和认识当前国内外形势的分辨能力和判断能力，坚定走中国特色社会主义道路的信心和决心。</w:t>
            </w:r>
          </w:p>
        </w:tc>
        <w:tc>
          <w:tcPr>
            <w:tcW w:w="996" w:type="dxa"/>
            <w:vAlign w:val="center"/>
          </w:tcPr>
          <w:p>
            <w:pPr>
              <w:widowControl/>
              <w:adjustRightInd w:val="0"/>
              <w:snapToGrid w:val="0"/>
              <w:spacing w:line="240" w:lineRule="exact"/>
              <w:jc w:val="center"/>
              <w:rPr>
                <w:rFonts w:ascii="宋体" w:hAnsi="宋体"/>
                <w:sz w:val="18"/>
                <w:szCs w:val="18"/>
              </w:rPr>
            </w:pPr>
            <w:r>
              <w:rPr>
                <w:rFonts w:hint="eastAsia" w:ascii="宋体" w:hAnsi="宋体"/>
                <w:sz w:val="18"/>
                <w:szCs w:val="18"/>
              </w:rPr>
              <w:t>1/</w:t>
            </w:r>
            <w:r>
              <w:rPr>
                <w:rFonts w:ascii="宋体" w:hAnsi="宋体"/>
                <w:sz w:val="18"/>
                <w:szCs w:val="18"/>
              </w:rPr>
              <w:t>40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7</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大学生心理健康教育</w:t>
            </w:r>
          </w:p>
        </w:tc>
        <w:tc>
          <w:tcPr>
            <w:tcW w:w="6589" w:type="dxa"/>
            <w:vAlign w:val="center"/>
          </w:tcPr>
          <w:p>
            <w:pPr>
              <w:spacing w:line="240" w:lineRule="exact"/>
              <w:ind w:firstLine="361" w:firstLineChars="200"/>
              <w:rPr>
                <w:rFonts w:ascii="宋体" w:hAnsi="宋体"/>
                <w:sz w:val="18"/>
                <w:szCs w:val="18"/>
              </w:rPr>
            </w:pPr>
            <w:r>
              <w:rPr>
                <w:rFonts w:hint="eastAsia" w:ascii="宋体" w:hAnsi="宋体"/>
                <w:b/>
                <w:bCs/>
                <w:sz w:val="18"/>
                <w:szCs w:val="18"/>
              </w:rPr>
              <w:t>主要内容：</w:t>
            </w:r>
            <w:r>
              <w:rPr>
                <w:rFonts w:hint="eastAsia" w:ascii="宋体" w:hAnsi="宋体"/>
                <w:sz w:val="18"/>
                <w:szCs w:val="18"/>
              </w:rPr>
              <w:t>包括情绪管理、压力管理、生命教育、心理危机应对以及逆境与成长等主题，涵盖大学生认知与探索、调试与应对、发展与提升等方面内容，由心理现象和心理过程引入心理健康教育的概念等，让学生学会学习，学会生活。</w:t>
            </w:r>
          </w:p>
          <w:p>
            <w:pPr>
              <w:spacing w:line="240" w:lineRule="exact"/>
              <w:ind w:firstLine="361" w:firstLineChars="200"/>
              <w:rPr>
                <w:rFonts w:ascii="华文仿宋" w:hAnsi="华文仿宋" w:eastAsia="华文仿宋"/>
                <w:sz w:val="18"/>
                <w:szCs w:val="18"/>
              </w:rPr>
            </w:pPr>
            <w:r>
              <w:rPr>
                <w:rFonts w:hint="eastAsia" w:ascii="宋体" w:hAnsi="宋体"/>
                <w:b/>
                <w:bCs/>
                <w:sz w:val="18"/>
                <w:szCs w:val="18"/>
              </w:rPr>
              <w:t>教学要求</w:t>
            </w:r>
            <w:r>
              <w:rPr>
                <w:rFonts w:hint="eastAsia" w:ascii="宋体" w:hAnsi="宋体"/>
                <w:sz w:val="18"/>
                <w:szCs w:val="18"/>
              </w:rPr>
              <w:t>：使学生明确心理健康的标准及意义，了解大学阶段人的心理发展特征及</w:t>
            </w:r>
            <w:r>
              <w:rPr>
                <w:rFonts w:ascii="宋体" w:hAnsi="宋体"/>
                <w:sz w:val="18"/>
                <w:szCs w:val="18"/>
              </w:rPr>
              <w:t>常见的心理问题表现</w:t>
            </w:r>
            <w:r>
              <w:rPr>
                <w:rFonts w:hint="eastAsia" w:ascii="宋体" w:hAnsi="宋体"/>
                <w:sz w:val="18"/>
                <w:szCs w:val="18"/>
              </w:rPr>
              <w:t>，掌握自我调适的基本知识；使学生掌握自我探索技能，心理调适技能及心理发展技能，正确认识自我、完善自我、发展自我、优化心理素质，提高心理水平，促进全面发展。</w:t>
            </w:r>
          </w:p>
        </w:tc>
        <w:tc>
          <w:tcPr>
            <w:tcW w:w="996" w:type="dxa"/>
            <w:vAlign w:val="center"/>
          </w:tcPr>
          <w:p>
            <w:pPr>
              <w:spacing w:line="240" w:lineRule="exact"/>
              <w:jc w:val="center"/>
              <w:rPr>
                <w:rFonts w:ascii="宋体" w:hAnsi="宋体"/>
                <w:sz w:val="18"/>
                <w:szCs w:val="18"/>
              </w:rPr>
            </w:pPr>
            <w:r>
              <w:rPr>
                <w:rFonts w:hint="eastAsia" w:ascii="宋体" w:hAnsi="宋体"/>
                <w:sz w:val="18"/>
                <w:szCs w:val="18"/>
              </w:rPr>
              <w:t>2/32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8</w:t>
            </w:r>
          </w:p>
        </w:tc>
        <w:tc>
          <w:tcPr>
            <w:tcW w:w="1020" w:type="dxa"/>
            <w:vAlign w:val="center"/>
          </w:tcPr>
          <w:p>
            <w:pPr>
              <w:spacing w:line="240" w:lineRule="exact"/>
              <w:ind w:firstLine="180" w:firstLineChars="100"/>
              <w:rPr>
                <w:rFonts w:ascii="宋体" w:hAnsi="宋体"/>
                <w:sz w:val="18"/>
                <w:szCs w:val="18"/>
              </w:rPr>
            </w:pPr>
            <w:r>
              <w:rPr>
                <w:rFonts w:hint="eastAsia" w:ascii="宋体" w:hAnsi="宋体"/>
                <w:sz w:val="18"/>
                <w:szCs w:val="18"/>
              </w:rPr>
              <w:t>体育</w:t>
            </w:r>
          </w:p>
        </w:tc>
        <w:tc>
          <w:tcPr>
            <w:tcW w:w="6589" w:type="dxa"/>
            <w:vAlign w:val="center"/>
          </w:tcPr>
          <w:p>
            <w:pPr>
              <w:spacing w:line="240" w:lineRule="exact"/>
              <w:ind w:firstLine="361" w:firstLineChars="200"/>
              <w:rPr>
                <w:rFonts w:ascii="宋体" w:hAnsi="宋体"/>
                <w:sz w:val="18"/>
                <w:szCs w:val="18"/>
              </w:rPr>
            </w:pPr>
            <w:r>
              <w:rPr>
                <w:rFonts w:hint="eastAsia" w:ascii="宋体" w:hAnsi="宋体"/>
                <w:b/>
                <w:bCs/>
                <w:sz w:val="18"/>
                <w:szCs w:val="18"/>
              </w:rPr>
              <w:t>主要内容：</w:t>
            </w:r>
            <w:r>
              <w:rPr>
                <w:rFonts w:hint="eastAsia" w:ascii="宋体" w:hAnsi="宋体"/>
                <w:sz w:val="18"/>
                <w:szCs w:val="18"/>
              </w:rPr>
              <w:t>学习基本的体育理论以及田径、球类、健美操、武术等项目的基本知识、技术、技能。增强学生自觉树立培养良好的职业道德及职业习惯的意识，形成敬业、守信、高效、协作、精益求精等职业道德与素质。</w:t>
            </w:r>
          </w:p>
          <w:p>
            <w:pPr>
              <w:spacing w:line="240" w:lineRule="exact"/>
              <w:ind w:firstLine="361" w:firstLineChars="200"/>
              <w:rPr>
                <w:rFonts w:ascii="宋体" w:hAnsi="宋体"/>
                <w:sz w:val="18"/>
                <w:szCs w:val="18"/>
              </w:rPr>
            </w:pPr>
            <w:r>
              <w:rPr>
                <w:rFonts w:hint="eastAsia" w:ascii="宋体" w:hAnsi="宋体"/>
                <w:b/>
                <w:bCs/>
                <w:sz w:val="18"/>
                <w:szCs w:val="18"/>
              </w:rPr>
              <w:t>教学要求</w:t>
            </w:r>
            <w:r>
              <w:rPr>
                <w:rFonts w:hint="eastAsia" w:ascii="宋体" w:hAnsi="宋体"/>
                <w:sz w:val="18"/>
                <w:szCs w:val="18"/>
              </w:rPr>
              <w:t>：掌握运动项目的技战术理论和基本知识、运动健身的基本原理与锻炼方法、运动损伤的预防与处理；使学生能把所学理论、技战术、技能知识运用到具体身体活动中；提高学生在身体活动中观察、思维、推理、判断、分析与解决问题的能力。</w:t>
            </w:r>
          </w:p>
        </w:tc>
        <w:tc>
          <w:tcPr>
            <w:tcW w:w="996" w:type="dxa"/>
            <w:vAlign w:val="center"/>
          </w:tcPr>
          <w:p>
            <w:pPr>
              <w:spacing w:line="240" w:lineRule="exact"/>
              <w:jc w:val="center"/>
              <w:rPr>
                <w:rFonts w:ascii="宋体" w:hAnsi="宋体"/>
                <w:sz w:val="18"/>
                <w:szCs w:val="18"/>
              </w:rPr>
            </w:pPr>
            <w:r>
              <w:rPr>
                <w:rFonts w:hint="eastAsia" w:ascii="宋体" w:hAnsi="宋体"/>
                <w:sz w:val="18"/>
                <w:szCs w:val="18"/>
              </w:rPr>
              <w:t>6/108</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9</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劳动与美育</w:t>
            </w:r>
          </w:p>
        </w:tc>
        <w:tc>
          <w:tcPr>
            <w:tcW w:w="6589" w:type="dxa"/>
            <w:vAlign w:val="center"/>
          </w:tcPr>
          <w:p>
            <w:pPr>
              <w:spacing w:line="240" w:lineRule="exact"/>
              <w:ind w:firstLine="361" w:firstLineChars="200"/>
              <w:rPr>
                <w:rFonts w:ascii="宋体" w:hAnsi="宋体"/>
                <w:sz w:val="18"/>
                <w:szCs w:val="18"/>
              </w:rPr>
            </w:pPr>
            <w:r>
              <w:rPr>
                <w:rFonts w:hint="eastAsia" w:ascii="宋体" w:hAnsi="宋体"/>
                <w:b/>
                <w:bCs/>
                <w:sz w:val="18"/>
                <w:szCs w:val="18"/>
              </w:rPr>
              <w:t>主要内容：</w:t>
            </w:r>
            <w:r>
              <w:rPr>
                <w:rFonts w:hint="eastAsia" w:ascii="宋体" w:hAnsi="宋体"/>
                <w:sz w:val="18"/>
                <w:szCs w:val="18"/>
              </w:rPr>
              <w:t>主要讲授劳动精神、劳模精神、工匠精神、劳动组织、劳动安全和劳动法规、美与审美的基本理论、自然审美、社会审美、艺术审美活动等内容。增强学生职业认同和劳动自豪感，培育爱岗敬业的劳动态度，严谨专注、精益求精、追求卓越的工匠精神，树立正确的审美观，提高审美境界、审美能力以及提高审美活动和审美教育的自觉性。</w:t>
            </w:r>
          </w:p>
          <w:p>
            <w:pPr>
              <w:spacing w:line="240" w:lineRule="exact"/>
              <w:ind w:firstLine="361" w:firstLineChars="200"/>
              <w:rPr>
                <w:rFonts w:ascii="宋体" w:hAnsi="宋体"/>
                <w:sz w:val="18"/>
                <w:szCs w:val="18"/>
              </w:rPr>
            </w:pPr>
            <w:r>
              <w:rPr>
                <w:rFonts w:hint="eastAsia" w:ascii="宋体" w:hAnsi="宋体"/>
                <w:b/>
                <w:bCs/>
                <w:sz w:val="18"/>
                <w:szCs w:val="18"/>
              </w:rPr>
              <w:t>教学要求</w:t>
            </w:r>
            <w:r>
              <w:rPr>
                <w:rFonts w:hint="eastAsia" w:ascii="宋体" w:hAnsi="宋体"/>
                <w:sz w:val="18"/>
                <w:szCs w:val="18"/>
              </w:rPr>
              <w:t>：使学生树立正确的劳动观点和劳动态度，养成诚实守信、吃苦耐劳的劳动品质和珍惜劳动成果、杜绝浪费的消费习惯。握基本的劳动知识和技能，能够结合所学专业知识，解决实际问题。掌握基本的美学理论，具备一定的审美能力。</w:t>
            </w:r>
          </w:p>
        </w:tc>
        <w:tc>
          <w:tcPr>
            <w:tcW w:w="996" w:type="dxa"/>
            <w:vAlign w:val="center"/>
          </w:tcPr>
          <w:p>
            <w:pPr>
              <w:spacing w:line="240" w:lineRule="exact"/>
              <w:jc w:val="center"/>
              <w:rPr>
                <w:rFonts w:ascii="宋体" w:hAnsi="宋体"/>
                <w:sz w:val="18"/>
                <w:szCs w:val="18"/>
              </w:rPr>
            </w:pPr>
            <w:r>
              <w:rPr>
                <w:rFonts w:hint="eastAsia" w:ascii="宋体" w:hAnsi="宋体"/>
                <w:sz w:val="18"/>
                <w:szCs w:val="18"/>
              </w:rPr>
              <w:t>2/32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10</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大学生创业基础</w:t>
            </w:r>
          </w:p>
        </w:tc>
        <w:tc>
          <w:tcPr>
            <w:tcW w:w="6589" w:type="dxa"/>
            <w:vAlign w:val="center"/>
          </w:tcPr>
          <w:p>
            <w:pPr>
              <w:spacing w:line="240" w:lineRule="exact"/>
              <w:ind w:firstLine="354" w:firstLineChars="196"/>
              <w:rPr>
                <w:rFonts w:ascii="宋体" w:hAnsi="宋体"/>
                <w:sz w:val="18"/>
                <w:szCs w:val="18"/>
              </w:rPr>
            </w:pPr>
            <w:r>
              <w:rPr>
                <w:rFonts w:hint="eastAsia" w:ascii="宋体" w:hAnsi="宋体"/>
                <w:b/>
                <w:bCs/>
                <w:sz w:val="18"/>
                <w:szCs w:val="18"/>
              </w:rPr>
              <w:t>主要内容：</w:t>
            </w:r>
            <w:r>
              <w:rPr>
                <w:rFonts w:hint="eastAsia" w:ascii="宋体" w:hAnsi="宋体"/>
                <w:sz w:val="18"/>
                <w:szCs w:val="18"/>
              </w:rPr>
              <w:t>从创新教育</w:t>
            </w:r>
            <w:r>
              <w:rPr>
                <w:rFonts w:ascii="宋体" w:hAnsi="宋体"/>
                <w:sz w:val="18"/>
                <w:szCs w:val="18"/>
              </w:rPr>
              <w:t>、</w:t>
            </w:r>
            <w:r>
              <w:rPr>
                <w:rFonts w:hint="eastAsia" w:ascii="宋体" w:hAnsi="宋体"/>
                <w:sz w:val="18"/>
                <w:szCs w:val="18"/>
              </w:rPr>
              <w:t>创业教育</w:t>
            </w:r>
            <w:r>
              <w:rPr>
                <w:rFonts w:ascii="宋体" w:hAnsi="宋体"/>
                <w:sz w:val="18"/>
                <w:szCs w:val="18"/>
              </w:rPr>
              <w:t>和专业教育</w:t>
            </w:r>
            <w:r>
              <w:rPr>
                <w:rFonts w:hint="eastAsia" w:ascii="宋体" w:hAnsi="宋体"/>
                <w:sz w:val="18"/>
                <w:szCs w:val="18"/>
              </w:rPr>
              <w:t>相融合的角度，</w:t>
            </w:r>
            <w:r>
              <w:rPr>
                <w:rFonts w:ascii="宋体" w:hAnsi="宋体"/>
                <w:sz w:val="18"/>
                <w:szCs w:val="18"/>
              </w:rPr>
              <w:t>通过</w:t>
            </w:r>
            <w:r>
              <w:rPr>
                <w:rFonts w:hint="eastAsia" w:ascii="宋体" w:hAnsi="宋体"/>
                <w:sz w:val="18"/>
                <w:szCs w:val="18"/>
              </w:rPr>
              <w:t>创新基本理论、创业团队组建、发掘创业机会、分析创业市场、整合创业资源、推演创业项目等内容</w:t>
            </w:r>
            <w:r>
              <w:rPr>
                <w:rFonts w:ascii="宋体" w:hAnsi="宋体"/>
                <w:sz w:val="18"/>
                <w:szCs w:val="18"/>
              </w:rPr>
              <w:t>学习，</w:t>
            </w:r>
            <w:r>
              <w:rPr>
                <w:rFonts w:hint="eastAsia" w:ascii="宋体" w:hAnsi="宋体"/>
                <w:sz w:val="18"/>
                <w:szCs w:val="18"/>
              </w:rPr>
              <w:t>使学生在参与教学过程中体验、参悟和提高创新创业能力。</w:t>
            </w:r>
          </w:p>
          <w:p>
            <w:pPr>
              <w:spacing w:line="240" w:lineRule="exact"/>
              <w:ind w:firstLine="354" w:firstLineChars="196"/>
              <w:rPr>
                <w:rFonts w:ascii="宋体" w:hAnsi="宋体"/>
                <w:sz w:val="18"/>
                <w:szCs w:val="18"/>
              </w:rPr>
            </w:pPr>
            <w:r>
              <w:rPr>
                <w:rFonts w:hint="eastAsia" w:ascii="宋体" w:hAnsi="宋体"/>
                <w:b/>
                <w:bCs/>
                <w:sz w:val="18"/>
                <w:szCs w:val="18"/>
              </w:rPr>
              <w:t>教学要求</w:t>
            </w:r>
            <w:r>
              <w:rPr>
                <w:rFonts w:hint="eastAsia" w:ascii="宋体" w:hAnsi="宋体"/>
                <w:sz w:val="18"/>
                <w:szCs w:val="18"/>
              </w:rPr>
              <w:t>：掌握创新创业的基本知识，熟悉创业基本流程和基本方法，了解创新创业的法律法规和相关政策，认知创新创业的基本内涵和创业活动的特殊性，全面提升学生创新创业意识、创新创业能力，增强学生社会责任感、创新精神和创业能力</w:t>
            </w:r>
            <w:r>
              <w:rPr>
                <w:rFonts w:ascii="宋体" w:hAnsi="宋体"/>
                <w:sz w:val="18"/>
                <w:szCs w:val="18"/>
              </w:rPr>
              <w:t>，促进创业就业和全面发展</w:t>
            </w:r>
            <w:r>
              <w:rPr>
                <w:rFonts w:hint="eastAsia" w:ascii="宋体" w:hAnsi="宋体"/>
                <w:sz w:val="18"/>
                <w:szCs w:val="18"/>
              </w:rPr>
              <w:t>。</w:t>
            </w:r>
          </w:p>
        </w:tc>
        <w:tc>
          <w:tcPr>
            <w:tcW w:w="996" w:type="dxa"/>
            <w:vAlign w:val="center"/>
          </w:tcPr>
          <w:p>
            <w:pPr>
              <w:spacing w:line="240" w:lineRule="exact"/>
              <w:jc w:val="center"/>
              <w:rPr>
                <w:rFonts w:ascii="宋体" w:hAnsi="宋体"/>
                <w:sz w:val="18"/>
                <w:szCs w:val="18"/>
              </w:rPr>
            </w:pPr>
            <w:r>
              <w:rPr>
                <w:rFonts w:hint="eastAsia" w:ascii="宋体" w:hAnsi="宋体"/>
                <w:sz w:val="18"/>
                <w:szCs w:val="18"/>
              </w:rPr>
              <w:t>2/36</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Align w:val="center"/>
          </w:tcPr>
          <w:p>
            <w:pPr>
              <w:jc w:val="center"/>
              <w:rPr>
                <w:sz w:val="18"/>
                <w:szCs w:val="18"/>
              </w:rPr>
            </w:pPr>
            <w:r>
              <w:rPr>
                <w:rFonts w:hint="eastAsia"/>
                <w:sz w:val="18"/>
                <w:szCs w:val="18"/>
              </w:rPr>
              <w:t>11</w:t>
            </w:r>
          </w:p>
        </w:tc>
        <w:tc>
          <w:tcPr>
            <w:tcW w:w="1020" w:type="dxa"/>
            <w:vAlign w:val="center"/>
          </w:tcPr>
          <w:p>
            <w:pPr>
              <w:spacing w:line="240" w:lineRule="exact"/>
              <w:jc w:val="center"/>
              <w:rPr>
                <w:rFonts w:ascii="宋体" w:hAnsi="宋体"/>
                <w:sz w:val="18"/>
                <w:szCs w:val="18"/>
              </w:rPr>
            </w:pPr>
            <w:r>
              <w:rPr>
                <w:rFonts w:hint="eastAsia" w:ascii="宋体" w:hAnsi="宋体"/>
                <w:sz w:val="18"/>
                <w:szCs w:val="18"/>
              </w:rPr>
              <w:t>职业生涯发展规划与就业指导</w:t>
            </w:r>
          </w:p>
        </w:tc>
        <w:tc>
          <w:tcPr>
            <w:tcW w:w="6589" w:type="dxa"/>
            <w:vAlign w:val="center"/>
          </w:tcPr>
          <w:p>
            <w:pPr>
              <w:spacing w:line="240" w:lineRule="exact"/>
              <w:ind w:firstLine="354" w:firstLineChars="196"/>
              <w:rPr>
                <w:rFonts w:ascii="宋体" w:hAnsi="宋体"/>
                <w:sz w:val="18"/>
                <w:szCs w:val="18"/>
              </w:rPr>
            </w:pPr>
            <w:r>
              <w:rPr>
                <w:rFonts w:hint="eastAsia" w:ascii="宋体" w:hAnsi="宋体"/>
                <w:b/>
                <w:bCs/>
                <w:sz w:val="18"/>
                <w:szCs w:val="18"/>
              </w:rPr>
              <w:t>主要内容：</w:t>
            </w:r>
            <w:r>
              <w:rPr>
                <w:rFonts w:hint="eastAsia" w:ascii="宋体" w:hAnsi="宋体"/>
                <w:sz w:val="18"/>
                <w:szCs w:val="18"/>
              </w:rPr>
              <w:t>自我认知、社会环境认知、科学决策的方法、确立生涯目标；了解职场与职位、掌握简历写作方法、学习面试成功经验、提升大学生的就业能力。</w:t>
            </w:r>
          </w:p>
          <w:p>
            <w:pPr>
              <w:spacing w:line="240" w:lineRule="exact"/>
              <w:ind w:firstLine="354" w:firstLineChars="196"/>
              <w:rPr>
                <w:sz w:val="18"/>
                <w:szCs w:val="18"/>
              </w:rPr>
            </w:pPr>
            <w:r>
              <w:rPr>
                <w:rFonts w:hint="eastAsia" w:ascii="宋体" w:hAnsi="宋体"/>
                <w:b/>
                <w:bCs/>
                <w:sz w:val="18"/>
                <w:szCs w:val="18"/>
              </w:rPr>
              <w:t>教学要求</w:t>
            </w:r>
            <w:r>
              <w:rPr>
                <w:rFonts w:hint="eastAsia" w:ascii="宋体" w:hAnsi="宋体"/>
                <w:sz w:val="18"/>
                <w:szCs w:val="18"/>
              </w:rPr>
              <w:t>：了解和掌握职业生涯规划的基本知识。增强大学生职业生涯规划的能力，帮助大学生更好的解决职业生涯过程中遇到的问题。</w:t>
            </w:r>
          </w:p>
        </w:tc>
        <w:tc>
          <w:tcPr>
            <w:tcW w:w="996" w:type="dxa"/>
            <w:vAlign w:val="center"/>
          </w:tcPr>
          <w:p>
            <w:pPr>
              <w:spacing w:line="240" w:lineRule="exact"/>
              <w:jc w:val="center"/>
              <w:rPr>
                <w:rFonts w:ascii="宋体" w:hAnsi="宋体"/>
                <w:sz w:val="18"/>
                <w:szCs w:val="18"/>
              </w:rPr>
            </w:pPr>
            <w:r>
              <w:rPr>
                <w:rFonts w:hint="eastAsia" w:ascii="宋体" w:hAnsi="宋体"/>
                <w:sz w:val="18"/>
                <w:szCs w:val="18"/>
              </w:rPr>
              <w:t>2/40</w:t>
            </w:r>
          </w:p>
        </w:tc>
      </w:tr>
    </w:tbl>
    <w:p>
      <w:pPr>
        <w:spacing w:line="400" w:lineRule="exact"/>
        <w:ind w:firstLine="422" w:firstLineChars="200"/>
        <w:jc w:val="left"/>
        <w:rPr>
          <w:b/>
          <w:bCs/>
          <w:color w:val="000000"/>
          <w:kern w:val="0"/>
          <w:szCs w:val="21"/>
        </w:rPr>
      </w:pPr>
      <w:r>
        <w:rPr>
          <w:b/>
          <w:bCs/>
          <w:color w:val="000000"/>
          <w:kern w:val="0"/>
          <w:szCs w:val="21"/>
        </w:rPr>
        <w:t>（三）主要专业课教学内容与要求</w:t>
      </w:r>
    </w:p>
    <w:p>
      <w:pPr>
        <w:spacing w:line="400" w:lineRule="exact"/>
        <w:ind w:firstLine="420" w:firstLineChars="200"/>
        <w:jc w:val="left"/>
        <w:rPr>
          <w:color w:val="000000"/>
          <w:kern w:val="0"/>
          <w:szCs w:val="21"/>
          <w:highlight w:val="none"/>
        </w:rPr>
      </w:pPr>
      <w:r>
        <w:rPr>
          <w:color w:val="000000"/>
          <w:kern w:val="0"/>
          <w:szCs w:val="21"/>
          <w:highlight w:val="none"/>
        </w:rPr>
        <w:t>1.专业核心课主要教学内容与要求</w:t>
      </w:r>
    </w:p>
    <w:p>
      <w:pPr>
        <w:pStyle w:val="5"/>
        <w:keepNext/>
        <w:jc w:val="center"/>
        <w:rPr>
          <w:rFonts w:ascii="Times New Roman" w:hAnsi="Times New Roman" w:eastAsia="宋体"/>
          <w:b/>
          <w:bCs/>
          <w:color w:val="000000"/>
          <w:sz w:val="18"/>
          <w:szCs w:val="18"/>
        </w:rPr>
      </w:pPr>
      <w:r>
        <w:rPr>
          <w:rFonts w:ascii="Times New Roman" w:hAnsi="Times New Roman" w:eastAsia="宋体"/>
          <w:b/>
          <w:bCs/>
          <w:color w:val="000000"/>
          <w:sz w:val="18"/>
          <w:szCs w:val="18"/>
        </w:rPr>
        <w:t>表5专业核心课主要教学内容与要求</w:t>
      </w:r>
    </w:p>
    <w:tbl>
      <w:tblPr>
        <w:tblStyle w:val="13"/>
        <w:tblW w:w="9265" w:type="dxa"/>
        <w:tblInd w:w="-368"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73"/>
        <w:gridCol w:w="1009"/>
        <w:gridCol w:w="1771"/>
        <w:gridCol w:w="2693"/>
        <w:gridCol w:w="2127"/>
        <w:gridCol w:w="992"/>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73" w:type="dxa"/>
            <w:shd w:val="clear" w:color="auto" w:fill="F1F1F1" w:themeFill="background1" w:themeFillShade="F2"/>
            <w:vAlign w:val="center"/>
          </w:tcPr>
          <w:p>
            <w:pPr>
              <w:pStyle w:val="2"/>
              <w:jc w:val="center"/>
              <w:rPr>
                <w:kern w:val="0"/>
                <w:sz w:val="18"/>
                <w:szCs w:val="18"/>
              </w:rPr>
            </w:pPr>
            <w:r>
              <w:rPr>
                <w:kern w:val="0"/>
                <w:sz w:val="18"/>
                <w:szCs w:val="18"/>
              </w:rPr>
              <w:t>序号</w:t>
            </w:r>
          </w:p>
        </w:tc>
        <w:tc>
          <w:tcPr>
            <w:tcW w:w="1009" w:type="dxa"/>
            <w:shd w:val="clear" w:color="auto" w:fill="F1F1F1" w:themeFill="background1" w:themeFillShade="F2"/>
            <w:vAlign w:val="center"/>
          </w:tcPr>
          <w:p>
            <w:pPr>
              <w:pStyle w:val="2"/>
              <w:jc w:val="center"/>
              <w:rPr>
                <w:kern w:val="0"/>
                <w:sz w:val="18"/>
                <w:szCs w:val="18"/>
              </w:rPr>
            </w:pPr>
            <w:r>
              <w:rPr>
                <w:kern w:val="0"/>
                <w:sz w:val="18"/>
                <w:szCs w:val="18"/>
              </w:rPr>
              <w:t>课程名称</w:t>
            </w:r>
          </w:p>
        </w:tc>
        <w:tc>
          <w:tcPr>
            <w:tcW w:w="1771" w:type="dxa"/>
            <w:shd w:val="clear" w:color="auto" w:fill="F1F1F1" w:themeFill="background1" w:themeFillShade="F2"/>
            <w:vAlign w:val="center"/>
          </w:tcPr>
          <w:p>
            <w:pPr>
              <w:pStyle w:val="2"/>
              <w:jc w:val="center"/>
              <w:rPr>
                <w:kern w:val="0"/>
                <w:sz w:val="18"/>
                <w:szCs w:val="18"/>
              </w:rPr>
            </w:pPr>
            <w:r>
              <w:rPr>
                <w:kern w:val="0"/>
                <w:sz w:val="18"/>
                <w:szCs w:val="18"/>
              </w:rPr>
              <w:t>典型工作任务描述</w:t>
            </w:r>
          </w:p>
        </w:tc>
        <w:tc>
          <w:tcPr>
            <w:tcW w:w="2693" w:type="dxa"/>
            <w:shd w:val="clear" w:color="auto" w:fill="F1F1F1" w:themeFill="background1" w:themeFillShade="F2"/>
            <w:vAlign w:val="center"/>
          </w:tcPr>
          <w:p>
            <w:pPr>
              <w:pStyle w:val="2"/>
              <w:jc w:val="center"/>
              <w:rPr>
                <w:kern w:val="0"/>
                <w:sz w:val="18"/>
                <w:szCs w:val="18"/>
              </w:rPr>
            </w:pPr>
            <w:r>
              <w:rPr>
                <w:kern w:val="0"/>
                <w:sz w:val="18"/>
                <w:szCs w:val="18"/>
              </w:rPr>
              <w:t>主要教学内容与要求</w:t>
            </w:r>
          </w:p>
        </w:tc>
        <w:tc>
          <w:tcPr>
            <w:tcW w:w="2127" w:type="dxa"/>
            <w:shd w:val="clear" w:color="auto" w:fill="F1F1F1" w:themeFill="background1" w:themeFillShade="F2"/>
            <w:vAlign w:val="center"/>
          </w:tcPr>
          <w:p>
            <w:pPr>
              <w:pStyle w:val="2"/>
              <w:jc w:val="center"/>
              <w:rPr>
                <w:kern w:val="0"/>
                <w:sz w:val="18"/>
                <w:szCs w:val="18"/>
              </w:rPr>
            </w:pPr>
            <w:r>
              <w:rPr>
                <w:kern w:val="0"/>
                <w:sz w:val="18"/>
                <w:szCs w:val="18"/>
              </w:rPr>
              <w:t>课程思政育人</w:t>
            </w:r>
          </w:p>
        </w:tc>
        <w:tc>
          <w:tcPr>
            <w:tcW w:w="992" w:type="dxa"/>
            <w:shd w:val="clear" w:color="auto" w:fill="F1F1F1" w:themeFill="background1" w:themeFillShade="F2"/>
            <w:vAlign w:val="center"/>
          </w:tcPr>
          <w:p>
            <w:pPr>
              <w:pStyle w:val="2"/>
              <w:jc w:val="center"/>
              <w:rPr>
                <w:kern w:val="0"/>
                <w:sz w:val="18"/>
                <w:szCs w:val="18"/>
              </w:rPr>
            </w:pPr>
            <w:r>
              <w:rPr>
                <w:sz w:val="18"/>
                <w:szCs w:val="18"/>
              </w:rPr>
              <w:t>学分/学时</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73" w:type="dxa"/>
            <w:shd w:val="clear" w:color="auto" w:fill="auto"/>
            <w:vAlign w:val="center"/>
          </w:tcPr>
          <w:p>
            <w:pPr>
              <w:pStyle w:val="2"/>
              <w:jc w:val="center"/>
              <w:rPr>
                <w:kern w:val="0"/>
                <w:sz w:val="18"/>
                <w:szCs w:val="18"/>
              </w:rPr>
            </w:pPr>
            <w:r>
              <w:rPr>
                <w:kern w:val="0"/>
                <w:sz w:val="18"/>
                <w:szCs w:val="18"/>
              </w:rPr>
              <w:t>1</w:t>
            </w:r>
          </w:p>
        </w:tc>
        <w:tc>
          <w:tcPr>
            <w:tcW w:w="1009" w:type="dxa"/>
            <w:shd w:val="clear" w:color="auto" w:fill="auto"/>
            <w:vAlign w:val="center"/>
          </w:tcPr>
          <w:p>
            <w:pPr>
              <w:pStyle w:val="2"/>
              <w:jc w:val="center"/>
              <w:rPr>
                <w:kern w:val="0"/>
                <w:sz w:val="18"/>
                <w:szCs w:val="18"/>
              </w:rPr>
            </w:pPr>
            <w:r>
              <w:rPr>
                <w:rFonts w:hint="eastAsia"/>
                <w:kern w:val="0"/>
                <w:sz w:val="18"/>
                <w:szCs w:val="18"/>
              </w:rPr>
              <w:t>仓储管理实务</w:t>
            </w:r>
          </w:p>
        </w:tc>
        <w:tc>
          <w:tcPr>
            <w:tcW w:w="1771" w:type="dxa"/>
            <w:shd w:val="clear" w:color="auto" w:fill="auto"/>
            <w:vAlign w:val="center"/>
          </w:tcPr>
          <w:p>
            <w:pPr>
              <w:pStyle w:val="2"/>
              <w:jc w:val="left"/>
              <w:rPr>
                <w:kern w:val="0"/>
                <w:sz w:val="18"/>
                <w:szCs w:val="18"/>
              </w:rPr>
            </w:pPr>
            <w:r>
              <w:rPr>
                <w:rFonts w:hint="eastAsia"/>
                <w:kern w:val="0"/>
                <w:sz w:val="18"/>
                <w:szCs w:val="18"/>
              </w:rPr>
              <w:t>1</w:t>
            </w:r>
            <w:r>
              <w:rPr>
                <w:kern w:val="0"/>
                <w:sz w:val="18"/>
                <w:szCs w:val="18"/>
              </w:rPr>
              <w:t>-1</w:t>
            </w:r>
            <w:r>
              <w:rPr>
                <w:rFonts w:hint="eastAsia"/>
                <w:kern w:val="0"/>
                <w:sz w:val="18"/>
                <w:szCs w:val="18"/>
              </w:rPr>
              <w:t>仓储认知</w:t>
            </w:r>
          </w:p>
          <w:p>
            <w:pPr>
              <w:pStyle w:val="2"/>
              <w:jc w:val="left"/>
              <w:rPr>
                <w:kern w:val="0"/>
                <w:sz w:val="18"/>
                <w:szCs w:val="18"/>
              </w:rPr>
            </w:pPr>
            <w:r>
              <w:rPr>
                <w:rFonts w:hint="eastAsia"/>
                <w:kern w:val="0"/>
                <w:sz w:val="18"/>
                <w:szCs w:val="18"/>
              </w:rPr>
              <w:t>1</w:t>
            </w:r>
            <w:r>
              <w:rPr>
                <w:kern w:val="0"/>
                <w:sz w:val="18"/>
                <w:szCs w:val="18"/>
              </w:rPr>
              <w:t>-2</w:t>
            </w:r>
            <w:r>
              <w:rPr>
                <w:rFonts w:hint="eastAsia"/>
                <w:kern w:val="0"/>
                <w:sz w:val="18"/>
                <w:szCs w:val="18"/>
              </w:rPr>
              <w:t>仓储业务</w:t>
            </w:r>
          </w:p>
          <w:p>
            <w:pPr>
              <w:pStyle w:val="2"/>
              <w:jc w:val="left"/>
              <w:rPr>
                <w:kern w:val="0"/>
                <w:sz w:val="18"/>
                <w:szCs w:val="18"/>
              </w:rPr>
            </w:pPr>
            <w:r>
              <w:rPr>
                <w:rFonts w:hint="eastAsia"/>
                <w:kern w:val="0"/>
                <w:sz w:val="18"/>
                <w:szCs w:val="18"/>
              </w:rPr>
              <w:t>1</w:t>
            </w:r>
            <w:r>
              <w:rPr>
                <w:kern w:val="0"/>
                <w:sz w:val="18"/>
                <w:szCs w:val="18"/>
              </w:rPr>
              <w:t>-3</w:t>
            </w:r>
            <w:r>
              <w:rPr>
                <w:rFonts w:hint="eastAsia"/>
                <w:kern w:val="0"/>
                <w:sz w:val="18"/>
                <w:szCs w:val="18"/>
              </w:rPr>
              <w:t>库存管理</w:t>
            </w:r>
          </w:p>
          <w:p>
            <w:pPr>
              <w:pStyle w:val="2"/>
              <w:jc w:val="left"/>
              <w:rPr>
                <w:kern w:val="0"/>
                <w:sz w:val="18"/>
                <w:szCs w:val="18"/>
              </w:rPr>
            </w:pPr>
            <w:r>
              <w:rPr>
                <w:rFonts w:hint="eastAsia"/>
                <w:kern w:val="0"/>
                <w:sz w:val="18"/>
                <w:szCs w:val="18"/>
              </w:rPr>
              <w:t>1</w:t>
            </w:r>
            <w:r>
              <w:rPr>
                <w:kern w:val="0"/>
                <w:sz w:val="18"/>
                <w:szCs w:val="18"/>
              </w:rPr>
              <w:t>-4</w:t>
            </w:r>
            <w:r>
              <w:rPr>
                <w:rFonts w:hint="eastAsia"/>
                <w:kern w:val="0"/>
                <w:sz w:val="18"/>
                <w:szCs w:val="18"/>
              </w:rPr>
              <w:t>仓储经营</w:t>
            </w:r>
          </w:p>
          <w:p>
            <w:pPr>
              <w:pStyle w:val="2"/>
              <w:jc w:val="left"/>
              <w:rPr>
                <w:kern w:val="0"/>
                <w:sz w:val="18"/>
                <w:szCs w:val="18"/>
              </w:rPr>
            </w:pPr>
            <w:r>
              <w:rPr>
                <w:rFonts w:hint="eastAsia"/>
                <w:kern w:val="0"/>
                <w:sz w:val="18"/>
                <w:szCs w:val="18"/>
              </w:rPr>
              <w:t>1</w:t>
            </w:r>
            <w:r>
              <w:rPr>
                <w:kern w:val="0"/>
                <w:sz w:val="18"/>
                <w:szCs w:val="18"/>
              </w:rPr>
              <w:t>-5</w:t>
            </w:r>
            <w:r>
              <w:rPr>
                <w:rFonts w:hint="eastAsia"/>
                <w:kern w:val="0"/>
                <w:sz w:val="18"/>
                <w:szCs w:val="18"/>
              </w:rPr>
              <w:t>仓储管理技术</w:t>
            </w:r>
          </w:p>
          <w:p>
            <w:pPr>
              <w:pStyle w:val="2"/>
              <w:jc w:val="left"/>
              <w:rPr>
                <w:kern w:val="0"/>
                <w:sz w:val="18"/>
                <w:szCs w:val="18"/>
              </w:rPr>
            </w:pPr>
            <w:r>
              <w:rPr>
                <w:rFonts w:hint="eastAsia"/>
                <w:kern w:val="0"/>
                <w:sz w:val="18"/>
                <w:szCs w:val="18"/>
              </w:rPr>
              <w:t>1</w:t>
            </w:r>
            <w:r>
              <w:rPr>
                <w:kern w:val="0"/>
                <w:sz w:val="18"/>
                <w:szCs w:val="18"/>
              </w:rPr>
              <w:t>-6</w:t>
            </w:r>
            <w:r>
              <w:rPr>
                <w:rFonts w:hint="eastAsia"/>
                <w:kern w:val="0"/>
                <w:sz w:val="18"/>
                <w:szCs w:val="18"/>
              </w:rPr>
              <w:t>仓储新技术及业务</w:t>
            </w:r>
          </w:p>
          <w:p>
            <w:pPr>
              <w:pStyle w:val="2"/>
              <w:jc w:val="left"/>
              <w:rPr>
                <w:kern w:val="0"/>
                <w:sz w:val="18"/>
                <w:szCs w:val="18"/>
              </w:rPr>
            </w:pPr>
          </w:p>
        </w:tc>
        <w:tc>
          <w:tcPr>
            <w:tcW w:w="2693" w:type="dxa"/>
            <w:shd w:val="clear" w:color="auto" w:fill="auto"/>
            <w:vAlign w:val="center"/>
          </w:tcPr>
          <w:p>
            <w:pPr>
              <w:pStyle w:val="2"/>
              <w:jc w:val="left"/>
              <w:rPr>
                <w:kern w:val="0"/>
                <w:sz w:val="18"/>
                <w:szCs w:val="18"/>
              </w:rPr>
            </w:pPr>
            <w:r>
              <w:rPr>
                <w:rFonts w:hint="eastAsia"/>
                <w:kern w:val="0"/>
                <w:sz w:val="18"/>
                <w:szCs w:val="18"/>
              </w:rPr>
              <w:t>主要内容：仓储的功能与意义；出入库的流程及在库盘点的程序；常用的库存控制方法；常用的仓储管理系统的作用与功能；仓储绩效评价的意义与原则。</w:t>
            </w:r>
          </w:p>
          <w:p>
            <w:pPr>
              <w:pStyle w:val="2"/>
              <w:jc w:val="left"/>
              <w:rPr>
                <w:kern w:val="0"/>
                <w:sz w:val="18"/>
                <w:szCs w:val="18"/>
              </w:rPr>
            </w:pPr>
            <w:r>
              <w:rPr>
                <w:rFonts w:hint="eastAsia"/>
                <w:kern w:val="0"/>
                <w:sz w:val="18"/>
                <w:szCs w:val="18"/>
              </w:rPr>
              <w:t>教学要求：能够应用“</w:t>
            </w:r>
            <w:r>
              <w:rPr>
                <w:kern w:val="0"/>
                <w:sz w:val="18"/>
                <w:szCs w:val="18"/>
              </w:rPr>
              <w:t>6</w:t>
            </w:r>
            <w:r>
              <w:rPr>
                <w:rFonts w:hint="eastAsia"/>
                <w:kern w:val="0"/>
                <w:sz w:val="18"/>
                <w:szCs w:val="18"/>
              </w:rPr>
              <w:t>S”法等进行仓库内部的日常管理；能够根据企业的具体规定进行商品检查、验收、盘点、分拣及包装；能够进行库存控制。</w:t>
            </w:r>
          </w:p>
        </w:tc>
        <w:tc>
          <w:tcPr>
            <w:tcW w:w="2127" w:type="dxa"/>
            <w:shd w:val="clear" w:color="auto" w:fill="auto"/>
            <w:vAlign w:val="center"/>
          </w:tcPr>
          <w:p>
            <w:pPr>
              <w:pStyle w:val="2"/>
              <w:jc w:val="left"/>
              <w:rPr>
                <w:kern w:val="0"/>
                <w:sz w:val="18"/>
                <w:szCs w:val="18"/>
              </w:rPr>
            </w:pPr>
            <w:r>
              <w:rPr>
                <w:rFonts w:hint="eastAsia"/>
                <w:kern w:val="0"/>
                <w:sz w:val="18"/>
                <w:szCs w:val="18"/>
              </w:rPr>
              <w:t>1.能够理论联系实际，具备“知行合一”思想，服务于社会主义仓储行业的建设者和接班人；</w:t>
            </w:r>
          </w:p>
          <w:p>
            <w:pPr>
              <w:pStyle w:val="2"/>
              <w:jc w:val="left"/>
              <w:rPr>
                <w:kern w:val="0"/>
                <w:sz w:val="18"/>
                <w:szCs w:val="18"/>
              </w:rPr>
            </w:pPr>
            <w:r>
              <w:rPr>
                <w:rFonts w:hint="eastAsia"/>
                <w:kern w:val="0"/>
                <w:sz w:val="18"/>
                <w:szCs w:val="18"/>
              </w:rPr>
              <w:t>2</w:t>
            </w:r>
            <w:r>
              <w:rPr>
                <w:kern w:val="0"/>
                <w:sz w:val="18"/>
                <w:szCs w:val="18"/>
              </w:rPr>
              <w:t>.</w:t>
            </w:r>
            <w:r>
              <w:rPr>
                <w:rFonts w:hint="eastAsia"/>
                <w:kern w:val="0"/>
                <w:sz w:val="18"/>
                <w:szCs w:val="18"/>
              </w:rPr>
              <w:t>具备一定的团队意识、成本意识、质量意识、节约意识、风险意识；</w:t>
            </w:r>
          </w:p>
          <w:p>
            <w:pPr>
              <w:pStyle w:val="2"/>
              <w:jc w:val="left"/>
              <w:rPr>
                <w:kern w:val="0"/>
                <w:sz w:val="18"/>
                <w:szCs w:val="18"/>
              </w:rPr>
            </w:pPr>
            <w:r>
              <w:rPr>
                <w:kern w:val="0"/>
                <w:sz w:val="18"/>
                <w:szCs w:val="18"/>
              </w:rPr>
              <w:t>3.</w:t>
            </w:r>
            <w:r>
              <w:rPr>
                <w:rFonts w:hint="eastAsia"/>
                <w:kern w:val="0"/>
                <w:sz w:val="18"/>
                <w:szCs w:val="18"/>
              </w:rPr>
              <w:t>具备规则意识、系统意识、创新创业意识、安全意识、法律意识；</w:t>
            </w:r>
          </w:p>
          <w:p>
            <w:pPr>
              <w:pStyle w:val="2"/>
              <w:jc w:val="left"/>
              <w:rPr>
                <w:kern w:val="0"/>
                <w:sz w:val="18"/>
                <w:szCs w:val="18"/>
              </w:rPr>
            </w:pPr>
            <w:r>
              <w:rPr>
                <w:rFonts w:hint="eastAsia"/>
                <w:kern w:val="0"/>
                <w:sz w:val="18"/>
                <w:szCs w:val="18"/>
              </w:rPr>
              <w:t>4</w:t>
            </w:r>
            <w:r>
              <w:rPr>
                <w:kern w:val="0"/>
                <w:sz w:val="18"/>
                <w:szCs w:val="18"/>
              </w:rPr>
              <w:t>.</w:t>
            </w:r>
            <w:r>
              <w:rPr>
                <w:rFonts w:hint="eastAsia"/>
                <w:kern w:val="0"/>
                <w:sz w:val="18"/>
                <w:szCs w:val="18"/>
              </w:rPr>
              <w:t>培养工匠精神、职业精神。</w:t>
            </w:r>
          </w:p>
        </w:tc>
        <w:tc>
          <w:tcPr>
            <w:tcW w:w="992" w:type="dxa"/>
            <w:vAlign w:val="center"/>
          </w:tcPr>
          <w:p>
            <w:pPr>
              <w:pStyle w:val="2"/>
              <w:jc w:val="center"/>
              <w:rPr>
                <w:kern w:val="0"/>
                <w:sz w:val="18"/>
                <w:szCs w:val="18"/>
              </w:rPr>
            </w:pPr>
            <w:r>
              <w:rPr>
                <w:rFonts w:hint="eastAsia" w:ascii="宋体" w:hAnsi="宋体"/>
                <w:sz w:val="20"/>
                <w:szCs w:val="20"/>
              </w:rPr>
              <w:t>4</w:t>
            </w:r>
            <w:r>
              <w:rPr>
                <w:rFonts w:ascii="宋体" w:hAnsi="宋体"/>
                <w:sz w:val="20"/>
                <w:szCs w:val="20"/>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73" w:type="dxa"/>
            <w:shd w:val="clear" w:color="auto" w:fill="auto"/>
            <w:vAlign w:val="center"/>
          </w:tcPr>
          <w:p>
            <w:pPr>
              <w:pStyle w:val="2"/>
              <w:jc w:val="center"/>
              <w:rPr>
                <w:kern w:val="0"/>
                <w:sz w:val="18"/>
                <w:szCs w:val="18"/>
              </w:rPr>
            </w:pPr>
            <w:r>
              <w:rPr>
                <w:kern w:val="0"/>
                <w:sz w:val="18"/>
                <w:szCs w:val="18"/>
              </w:rPr>
              <w:t>2</w:t>
            </w:r>
          </w:p>
        </w:tc>
        <w:tc>
          <w:tcPr>
            <w:tcW w:w="1009" w:type="dxa"/>
            <w:shd w:val="clear" w:color="auto" w:fill="auto"/>
            <w:vAlign w:val="center"/>
          </w:tcPr>
          <w:p>
            <w:pPr>
              <w:pStyle w:val="2"/>
              <w:jc w:val="center"/>
              <w:rPr>
                <w:kern w:val="0"/>
                <w:sz w:val="18"/>
                <w:szCs w:val="18"/>
              </w:rPr>
            </w:pPr>
            <w:r>
              <w:rPr>
                <w:rFonts w:hint="eastAsia"/>
                <w:kern w:val="0"/>
                <w:sz w:val="18"/>
                <w:szCs w:val="18"/>
              </w:rPr>
              <w:t>配送管理实务</w:t>
            </w:r>
          </w:p>
        </w:tc>
        <w:tc>
          <w:tcPr>
            <w:tcW w:w="1771" w:type="dxa"/>
            <w:shd w:val="clear" w:color="auto" w:fill="auto"/>
            <w:vAlign w:val="center"/>
          </w:tcPr>
          <w:p>
            <w:pPr>
              <w:pStyle w:val="2"/>
              <w:jc w:val="left"/>
              <w:rPr>
                <w:kern w:val="0"/>
                <w:sz w:val="18"/>
                <w:szCs w:val="18"/>
              </w:rPr>
            </w:pPr>
            <w:r>
              <w:rPr>
                <w:kern w:val="0"/>
                <w:sz w:val="18"/>
                <w:szCs w:val="18"/>
              </w:rPr>
              <w:t>2-1</w:t>
            </w:r>
            <w:r>
              <w:rPr>
                <w:rFonts w:hint="eastAsia"/>
                <w:kern w:val="0"/>
                <w:sz w:val="18"/>
                <w:szCs w:val="18"/>
              </w:rPr>
              <w:t>配送及配送中心认知</w:t>
            </w:r>
          </w:p>
          <w:p>
            <w:pPr>
              <w:pStyle w:val="2"/>
              <w:jc w:val="left"/>
              <w:rPr>
                <w:kern w:val="0"/>
                <w:sz w:val="18"/>
                <w:szCs w:val="18"/>
              </w:rPr>
            </w:pPr>
            <w:r>
              <w:rPr>
                <w:kern w:val="0"/>
                <w:sz w:val="18"/>
                <w:szCs w:val="18"/>
              </w:rPr>
              <w:t>2-2</w:t>
            </w:r>
            <w:r>
              <w:rPr>
                <w:rFonts w:hint="eastAsia"/>
                <w:kern w:val="0"/>
                <w:sz w:val="18"/>
                <w:szCs w:val="18"/>
              </w:rPr>
              <w:t>进货与储存作业</w:t>
            </w:r>
          </w:p>
          <w:p>
            <w:pPr>
              <w:pStyle w:val="2"/>
              <w:jc w:val="left"/>
              <w:rPr>
                <w:kern w:val="0"/>
                <w:sz w:val="18"/>
                <w:szCs w:val="18"/>
              </w:rPr>
            </w:pPr>
            <w:r>
              <w:rPr>
                <w:kern w:val="0"/>
                <w:sz w:val="18"/>
                <w:szCs w:val="18"/>
              </w:rPr>
              <w:t>2-3</w:t>
            </w:r>
            <w:r>
              <w:rPr>
                <w:rFonts w:hint="eastAsia"/>
                <w:kern w:val="0"/>
                <w:sz w:val="18"/>
                <w:szCs w:val="18"/>
              </w:rPr>
              <w:t>拣货作业</w:t>
            </w:r>
          </w:p>
          <w:p>
            <w:pPr>
              <w:pStyle w:val="2"/>
              <w:jc w:val="left"/>
              <w:rPr>
                <w:kern w:val="0"/>
                <w:sz w:val="18"/>
                <w:szCs w:val="18"/>
              </w:rPr>
            </w:pPr>
            <w:r>
              <w:rPr>
                <w:kern w:val="0"/>
                <w:sz w:val="18"/>
                <w:szCs w:val="18"/>
              </w:rPr>
              <w:t>2-4</w:t>
            </w:r>
            <w:r>
              <w:rPr>
                <w:rFonts w:hint="eastAsia"/>
                <w:kern w:val="0"/>
                <w:sz w:val="18"/>
                <w:szCs w:val="18"/>
              </w:rPr>
              <w:t>流通加工</w:t>
            </w:r>
          </w:p>
          <w:p>
            <w:pPr>
              <w:pStyle w:val="2"/>
              <w:jc w:val="left"/>
              <w:rPr>
                <w:kern w:val="0"/>
                <w:sz w:val="18"/>
                <w:szCs w:val="18"/>
              </w:rPr>
            </w:pPr>
            <w:r>
              <w:rPr>
                <w:kern w:val="0"/>
                <w:sz w:val="18"/>
                <w:szCs w:val="18"/>
              </w:rPr>
              <w:t>2-5</w:t>
            </w:r>
            <w:r>
              <w:rPr>
                <w:rFonts w:hint="eastAsia"/>
                <w:kern w:val="0"/>
                <w:sz w:val="18"/>
                <w:szCs w:val="18"/>
              </w:rPr>
              <w:t>配货与送货作业</w:t>
            </w:r>
          </w:p>
        </w:tc>
        <w:tc>
          <w:tcPr>
            <w:tcW w:w="2693" w:type="dxa"/>
            <w:shd w:val="clear" w:color="auto" w:fill="auto"/>
            <w:vAlign w:val="center"/>
          </w:tcPr>
          <w:p>
            <w:pPr>
              <w:pStyle w:val="2"/>
              <w:jc w:val="left"/>
              <w:rPr>
                <w:kern w:val="0"/>
                <w:sz w:val="18"/>
                <w:szCs w:val="18"/>
              </w:rPr>
            </w:pPr>
            <w:r>
              <w:rPr>
                <w:rFonts w:hint="eastAsia"/>
                <w:kern w:val="0"/>
                <w:sz w:val="18"/>
                <w:szCs w:val="18"/>
              </w:rPr>
              <w:t>主要内容：配送作业认知、配送模式选择、订单处理原则、常用地拣货作业方式、流通加工方式、拣货单设计、分货单设计、配送路线优化方法、车辆配载、送货作业计划与调度、补货作业处理、退货作业处理、配送作业绩效评价。</w:t>
            </w:r>
          </w:p>
          <w:p>
            <w:pPr>
              <w:pStyle w:val="2"/>
              <w:jc w:val="left"/>
              <w:rPr>
                <w:kern w:val="0"/>
                <w:sz w:val="18"/>
                <w:szCs w:val="18"/>
              </w:rPr>
            </w:pPr>
            <w:r>
              <w:rPr>
                <w:rFonts w:hint="eastAsia"/>
                <w:kern w:val="0"/>
                <w:sz w:val="18"/>
                <w:szCs w:val="18"/>
              </w:rPr>
              <w:t>教学要求：能正确分析每一种配送模式的优缺点，能根据某个配送中心的门店需求情况和配送中心的现有资源情况，制定一份在时间、路线、成本等方面较为合理的配送计划；能熟练编制有关配送中心的采购订单、入库单、盘点单、出库单、台账等单据。</w:t>
            </w:r>
          </w:p>
        </w:tc>
        <w:tc>
          <w:tcPr>
            <w:tcW w:w="2127" w:type="dxa"/>
            <w:shd w:val="clear" w:color="auto" w:fill="auto"/>
            <w:vAlign w:val="center"/>
          </w:tcPr>
          <w:p>
            <w:pPr>
              <w:pStyle w:val="2"/>
              <w:jc w:val="left"/>
              <w:rPr>
                <w:rFonts w:hint="eastAsia" w:eastAsia="宋体"/>
                <w:kern w:val="0"/>
                <w:sz w:val="18"/>
                <w:szCs w:val="18"/>
                <w:lang w:eastAsia="zh-CN"/>
              </w:rPr>
            </w:pPr>
            <w:r>
              <w:rPr>
                <w:rFonts w:hint="eastAsia"/>
                <w:kern w:val="0"/>
                <w:sz w:val="18"/>
                <w:szCs w:val="18"/>
              </w:rPr>
              <w:t>1．弘扬社会主义核心价值观：国家层次：富强、民主、文明、和谐</w:t>
            </w:r>
            <w:r>
              <w:rPr>
                <w:rFonts w:hint="eastAsia"/>
                <w:kern w:val="0"/>
                <w:sz w:val="18"/>
                <w:szCs w:val="18"/>
                <w:lang w:eastAsia="zh-CN"/>
              </w:rPr>
              <w:t>，</w:t>
            </w:r>
            <w:r>
              <w:rPr>
                <w:rFonts w:hint="eastAsia"/>
                <w:kern w:val="0"/>
                <w:sz w:val="18"/>
                <w:szCs w:val="18"/>
              </w:rPr>
              <w:t>社会层面：自由、平等、公正、法治</w:t>
            </w:r>
            <w:r>
              <w:rPr>
                <w:rFonts w:hint="eastAsia"/>
                <w:kern w:val="0"/>
                <w:sz w:val="18"/>
                <w:szCs w:val="18"/>
                <w:lang w:eastAsia="zh-CN"/>
              </w:rPr>
              <w:t>，</w:t>
            </w:r>
            <w:r>
              <w:rPr>
                <w:rFonts w:hint="eastAsia"/>
                <w:kern w:val="0"/>
                <w:sz w:val="18"/>
                <w:szCs w:val="18"/>
              </w:rPr>
              <w:t>个人层次：爱国、敬业、诚信、友善</w:t>
            </w:r>
            <w:r>
              <w:rPr>
                <w:rFonts w:hint="eastAsia"/>
                <w:kern w:val="0"/>
                <w:sz w:val="18"/>
                <w:szCs w:val="18"/>
                <w:lang w:eastAsia="zh-CN"/>
              </w:rPr>
              <w:t>；</w:t>
            </w:r>
          </w:p>
          <w:p>
            <w:pPr>
              <w:pStyle w:val="2"/>
              <w:jc w:val="left"/>
              <w:rPr>
                <w:kern w:val="0"/>
                <w:sz w:val="18"/>
                <w:szCs w:val="18"/>
              </w:rPr>
            </w:pPr>
            <w:r>
              <w:rPr>
                <w:rFonts w:hint="eastAsia"/>
                <w:kern w:val="0"/>
                <w:sz w:val="18"/>
                <w:szCs w:val="18"/>
              </w:rPr>
              <w:t>2．提升职业素养：吃苦耐劳、创新发展、团队协作、沟通、开拓进取。</w:t>
            </w:r>
          </w:p>
        </w:tc>
        <w:tc>
          <w:tcPr>
            <w:tcW w:w="992" w:type="dxa"/>
            <w:vAlign w:val="center"/>
          </w:tcPr>
          <w:p>
            <w:pPr>
              <w:pStyle w:val="2"/>
              <w:jc w:val="center"/>
              <w:rPr>
                <w:kern w:val="0"/>
                <w:sz w:val="18"/>
                <w:szCs w:val="18"/>
              </w:rPr>
            </w:pPr>
            <w:r>
              <w:rPr>
                <w:rFonts w:hint="eastAsia" w:ascii="宋体" w:hAnsi="宋体"/>
                <w:sz w:val="20"/>
                <w:szCs w:val="20"/>
              </w:rPr>
              <w:t>4</w:t>
            </w:r>
            <w:r>
              <w:rPr>
                <w:rFonts w:ascii="宋体" w:hAnsi="宋体"/>
                <w:sz w:val="20"/>
                <w:szCs w:val="20"/>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73" w:type="dxa"/>
            <w:shd w:val="clear" w:color="auto" w:fill="auto"/>
            <w:vAlign w:val="center"/>
          </w:tcPr>
          <w:p>
            <w:pPr>
              <w:pStyle w:val="2"/>
              <w:jc w:val="center"/>
              <w:rPr>
                <w:kern w:val="0"/>
                <w:sz w:val="18"/>
                <w:szCs w:val="18"/>
              </w:rPr>
            </w:pPr>
            <w:r>
              <w:rPr>
                <w:kern w:val="0"/>
                <w:sz w:val="18"/>
                <w:szCs w:val="18"/>
              </w:rPr>
              <w:t>3</w:t>
            </w:r>
          </w:p>
        </w:tc>
        <w:tc>
          <w:tcPr>
            <w:tcW w:w="1009" w:type="dxa"/>
            <w:shd w:val="clear" w:color="auto" w:fill="auto"/>
            <w:vAlign w:val="center"/>
          </w:tcPr>
          <w:p>
            <w:pPr>
              <w:pStyle w:val="2"/>
              <w:jc w:val="center"/>
              <w:rPr>
                <w:kern w:val="0"/>
                <w:sz w:val="18"/>
                <w:szCs w:val="18"/>
              </w:rPr>
            </w:pPr>
            <w:r>
              <w:rPr>
                <w:rFonts w:hint="eastAsia"/>
                <w:kern w:val="0"/>
                <w:sz w:val="18"/>
                <w:szCs w:val="18"/>
              </w:rPr>
              <w:t>运输管理</w:t>
            </w:r>
          </w:p>
        </w:tc>
        <w:tc>
          <w:tcPr>
            <w:tcW w:w="1771" w:type="dxa"/>
            <w:shd w:val="clear" w:color="auto" w:fill="auto"/>
            <w:vAlign w:val="center"/>
          </w:tcPr>
          <w:p>
            <w:pPr>
              <w:pStyle w:val="2"/>
              <w:jc w:val="left"/>
              <w:rPr>
                <w:kern w:val="0"/>
                <w:sz w:val="18"/>
                <w:szCs w:val="18"/>
              </w:rPr>
            </w:pPr>
            <w:r>
              <w:rPr>
                <w:kern w:val="0"/>
                <w:sz w:val="18"/>
                <w:szCs w:val="18"/>
              </w:rPr>
              <w:t>3-1</w:t>
            </w:r>
            <w:r>
              <w:rPr>
                <w:rFonts w:hint="eastAsia"/>
                <w:kern w:val="0"/>
                <w:sz w:val="18"/>
                <w:szCs w:val="18"/>
              </w:rPr>
              <w:t>运输管理基础知识</w:t>
            </w:r>
          </w:p>
          <w:p>
            <w:pPr>
              <w:pStyle w:val="2"/>
              <w:jc w:val="left"/>
              <w:rPr>
                <w:kern w:val="0"/>
                <w:sz w:val="18"/>
                <w:szCs w:val="18"/>
              </w:rPr>
            </w:pPr>
            <w:r>
              <w:rPr>
                <w:kern w:val="0"/>
                <w:sz w:val="18"/>
                <w:szCs w:val="18"/>
              </w:rPr>
              <w:t>3-2</w:t>
            </w:r>
            <w:r>
              <w:rPr>
                <w:rFonts w:hint="eastAsia"/>
                <w:kern w:val="0"/>
                <w:sz w:val="18"/>
                <w:szCs w:val="18"/>
              </w:rPr>
              <w:t>公路货物运输</w:t>
            </w:r>
          </w:p>
          <w:p>
            <w:pPr>
              <w:pStyle w:val="2"/>
              <w:jc w:val="left"/>
              <w:rPr>
                <w:kern w:val="0"/>
                <w:sz w:val="18"/>
                <w:szCs w:val="18"/>
              </w:rPr>
            </w:pPr>
            <w:r>
              <w:rPr>
                <w:kern w:val="0"/>
                <w:sz w:val="18"/>
                <w:szCs w:val="18"/>
              </w:rPr>
              <w:t>3-3</w:t>
            </w:r>
            <w:r>
              <w:rPr>
                <w:rFonts w:hint="eastAsia"/>
                <w:kern w:val="0"/>
                <w:sz w:val="18"/>
                <w:szCs w:val="18"/>
              </w:rPr>
              <w:t>水路货物运输</w:t>
            </w:r>
          </w:p>
          <w:p>
            <w:pPr>
              <w:pStyle w:val="2"/>
              <w:jc w:val="left"/>
              <w:rPr>
                <w:kern w:val="0"/>
                <w:sz w:val="18"/>
                <w:szCs w:val="18"/>
              </w:rPr>
            </w:pPr>
            <w:r>
              <w:rPr>
                <w:kern w:val="0"/>
                <w:sz w:val="18"/>
                <w:szCs w:val="18"/>
              </w:rPr>
              <w:t>3-4</w:t>
            </w:r>
            <w:r>
              <w:rPr>
                <w:rFonts w:hint="eastAsia"/>
                <w:kern w:val="0"/>
                <w:sz w:val="18"/>
                <w:szCs w:val="18"/>
              </w:rPr>
              <w:t>铁路货物运输</w:t>
            </w:r>
          </w:p>
          <w:p>
            <w:pPr>
              <w:pStyle w:val="2"/>
              <w:jc w:val="left"/>
              <w:rPr>
                <w:kern w:val="0"/>
                <w:sz w:val="18"/>
                <w:szCs w:val="18"/>
              </w:rPr>
            </w:pPr>
            <w:r>
              <w:rPr>
                <w:kern w:val="0"/>
                <w:sz w:val="18"/>
                <w:szCs w:val="18"/>
              </w:rPr>
              <w:t>3-5</w:t>
            </w:r>
            <w:r>
              <w:rPr>
                <w:rFonts w:hint="eastAsia"/>
                <w:kern w:val="0"/>
                <w:sz w:val="18"/>
                <w:szCs w:val="18"/>
              </w:rPr>
              <w:t>航空货物运输</w:t>
            </w:r>
          </w:p>
          <w:p>
            <w:pPr>
              <w:pStyle w:val="2"/>
              <w:jc w:val="left"/>
              <w:rPr>
                <w:kern w:val="0"/>
                <w:sz w:val="18"/>
                <w:szCs w:val="18"/>
              </w:rPr>
            </w:pPr>
            <w:r>
              <w:rPr>
                <w:kern w:val="0"/>
                <w:sz w:val="18"/>
                <w:szCs w:val="18"/>
              </w:rPr>
              <w:t>3-6</w:t>
            </w:r>
            <w:r>
              <w:rPr>
                <w:rFonts w:hint="eastAsia"/>
                <w:kern w:val="0"/>
                <w:sz w:val="18"/>
                <w:szCs w:val="18"/>
              </w:rPr>
              <w:t>管道运输</w:t>
            </w:r>
          </w:p>
          <w:p>
            <w:pPr>
              <w:pStyle w:val="2"/>
              <w:jc w:val="left"/>
              <w:rPr>
                <w:kern w:val="0"/>
                <w:sz w:val="18"/>
                <w:szCs w:val="18"/>
              </w:rPr>
            </w:pPr>
            <w:r>
              <w:rPr>
                <w:kern w:val="0"/>
                <w:sz w:val="18"/>
                <w:szCs w:val="18"/>
              </w:rPr>
              <w:t>3-7</w:t>
            </w:r>
            <w:r>
              <w:rPr>
                <w:rFonts w:hint="eastAsia"/>
                <w:kern w:val="0"/>
                <w:sz w:val="18"/>
                <w:szCs w:val="18"/>
              </w:rPr>
              <w:t>多式联运</w:t>
            </w:r>
          </w:p>
          <w:p>
            <w:pPr>
              <w:pStyle w:val="2"/>
              <w:jc w:val="left"/>
              <w:rPr>
                <w:kern w:val="0"/>
                <w:sz w:val="18"/>
                <w:szCs w:val="18"/>
              </w:rPr>
            </w:pPr>
            <w:r>
              <w:rPr>
                <w:kern w:val="0"/>
                <w:sz w:val="18"/>
                <w:szCs w:val="18"/>
              </w:rPr>
              <w:t>3-8</w:t>
            </w:r>
            <w:r>
              <w:rPr>
                <w:rFonts w:hint="eastAsia"/>
                <w:kern w:val="0"/>
                <w:sz w:val="18"/>
                <w:szCs w:val="18"/>
              </w:rPr>
              <w:t>货物运输保险与货物运输合同</w:t>
            </w:r>
          </w:p>
          <w:p>
            <w:pPr>
              <w:pStyle w:val="2"/>
              <w:jc w:val="left"/>
              <w:rPr>
                <w:kern w:val="0"/>
                <w:sz w:val="18"/>
                <w:szCs w:val="18"/>
              </w:rPr>
            </w:pPr>
            <w:r>
              <w:rPr>
                <w:kern w:val="0"/>
                <w:sz w:val="18"/>
                <w:szCs w:val="18"/>
              </w:rPr>
              <w:t>3-9</w:t>
            </w:r>
            <w:r>
              <w:rPr>
                <w:rFonts w:hint="eastAsia"/>
                <w:kern w:val="0"/>
                <w:sz w:val="18"/>
                <w:szCs w:val="18"/>
              </w:rPr>
              <w:t>运输决策与管理</w:t>
            </w:r>
          </w:p>
        </w:tc>
        <w:tc>
          <w:tcPr>
            <w:tcW w:w="2693" w:type="dxa"/>
            <w:shd w:val="clear" w:color="auto" w:fill="auto"/>
            <w:vAlign w:val="center"/>
          </w:tcPr>
          <w:p>
            <w:pPr>
              <w:pStyle w:val="2"/>
              <w:jc w:val="left"/>
              <w:rPr>
                <w:kern w:val="0"/>
                <w:sz w:val="18"/>
                <w:szCs w:val="18"/>
              </w:rPr>
            </w:pPr>
            <w:r>
              <w:rPr>
                <w:rFonts w:hint="eastAsia"/>
                <w:kern w:val="0"/>
                <w:sz w:val="18"/>
                <w:szCs w:val="18"/>
              </w:rPr>
              <w:t>主要内容：运输基本知识；不同运输方式的运费计算方法和要求；床用的货物运输合同的编制；多式联运选择的依据和好处等。</w:t>
            </w:r>
          </w:p>
          <w:p>
            <w:pPr>
              <w:pStyle w:val="2"/>
              <w:jc w:val="left"/>
              <w:rPr>
                <w:kern w:val="0"/>
                <w:sz w:val="18"/>
                <w:szCs w:val="18"/>
              </w:rPr>
            </w:pPr>
            <w:r>
              <w:rPr>
                <w:rFonts w:hint="eastAsia"/>
                <w:kern w:val="0"/>
                <w:sz w:val="18"/>
                <w:szCs w:val="18"/>
              </w:rPr>
              <w:t>教学要求：根据货物的种类、货量等条件等选择合理的运输方式；填制托运单和货票；判断某一种类、数量的货物适合零担运输还是整车运输；能根据运价表中的规定正确计算托运货物的计费重量。</w:t>
            </w:r>
          </w:p>
        </w:tc>
        <w:tc>
          <w:tcPr>
            <w:tcW w:w="2127" w:type="dxa"/>
            <w:shd w:val="clear" w:color="auto" w:fill="auto"/>
            <w:vAlign w:val="center"/>
          </w:tcPr>
          <w:p>
            <w:pPr>
              <w:pStyle w:val="2"/>
              <w:jc w:val="left"/>
              <w:rPr>
                <w:kern w:val="0"/>
                <w:sz w:val="18"/>
                <w:szCs w:val="18"/>
              </w:rPr>
            </w:pPr>
            <w:r>
              <w:rPr>
                <w:rFonts w:hint="eastAsia"/>
                <w:kern w:val="0"/>
                <w:sz w:val="18"/>
                <w:szCs w:val="18"/>
              </w:rPr>
              <w:t>1.建立学生的“四个自信”；</w:t>
            </w:r>
          </w:p>
          <w:p>
            <w:pPr>
              <w:pStyle w:val="2"/>
              <w:jc w:val="left"/>
              <w:rPr>
                <w:rFonts w:hint="eastAsia" w:eastAsia="宋体"/>
                <w:kern w:val="0"/>
                <w:sz w:val="18"/>
                <w:szCs w:val="18"/>
                <w:lang w:eastAsia="zh-CN"/>
              </w:rPr>
            </w:pPr>
            <w:r>
              <w:rPr>
                <w:kern w:val="0"/>
                <w:sz w:val="18"/>
                <w:szCs w:val="18"/>
              </w:rPr>
              <w:t>2.</w:t>
            </w:r>
            <w:r>
              <w:rPr>
                <w:rFonts w:hint="eastAsia"/>
                <w:kern w:val="0"/>
                <w:sz w:val="18"/>
                <w:szCs w:val="18"/>
              </w:rPr>
              <w:t>培养学生精益求精的“工匠精神”</w:t>
            </w:r>
            <w:r>
              <w:rPr>
                <w:rFonts w:hint="eastAsia"/>
                <w:kern w:val="0"/>
                <w:sz w:val="18"/>
                <w:szCs w:val="18"/>
                <w:lang w:eastAsia="zh-CN"/>
              </w:rPr>
              <w:t>；</w:t>
            </w:r>
          </w:p>
          <w:p>
            <w:pPr>
              <w:pStyle w:val="2"/>
              <w:jc w:val="left"/>
              <w:rPr>
                <w:kern w:val="0"/>
                <w:sz w:val="18"/>
                <w:szCs w:val="18"/>
              </w:rPr>
            </w:pPr>
            <w:r>
              <w:rPr>
                <w:kern w:val="0"/>
                <w:sz w:val="18"/>
                <w:szCs w:val="18"/>
              </w:rPr>
              <w:t>3.</w:t>
            </w:r>
            <w:r>
              <w:rPr>
                <w:rFonts w:hint="eastAsia"/>
                <w:kern w:val="0"/>
                <w:sz w:val="18"/>
                <w:szCs w:val="18"/>
              </w:rPr>
              <w:t>通过运费的计算，树立学生的诚信理念。</w:t>
            </w:r>
          </w:p>
        </w:tc>
        <w:tc>
          <w:tcPr>
            <w:tcW w:w="992" w:type="dxa"/>
            <w:vAlign w:val="center"/>
          </w:tcPr>
          <w:p>
            <w:pPr>
              <w:pStyle w:val="2"/>
              <w:jc w:val="center"/>
              <w:rPr>
                <w:kern w:val="0"/>
                <w:sz w:val="18"/>
                <w:szCs w:val="18"/>
              </w:rPr>
            </w:pPr>
            <w:r>
              <w:rPr>
                <w:rFonts w:hint="eastAsia" w:ascii="宋体" w:hAnsi="宋体"/>
                <w:sz w:val="20"/>
                <w:szCs w:val="20"/>
              </w:rPr>
              <w:t>4</w:t>
            </w:r>
            <w:r>
              <w:rPr>
                <w:rFonts w:ascii="宋体" w:hAnsi="宋体"/>
                <w:sz w:val="20"/>
                <w:szCs w:val="20"/>
              </w:rPr>
              <w:t>/64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673" w:type="dxa"/>
            <w:shd w:val="clear" w:color="auto" w:fill="auto"/>
            <w:vAlign w:val="center"/>
          </w:tcPr>
          <w:p>
            <w:pPr>
              <w:pStyle w:val="2"/>
              <w:jc w:val="center"/>
              <w:rPr>
                <w:kern w:val="0"/>
                <w:sz w:val="18"/>
                <w:szCs w:val="18"/>
              </w:rPr>
            </w:pPr>
            <w:r>
              <w:rPr>
                <w:kern w:val="0"/>
                <w:sz w:val="18"/>
                <w:szCs w:val="18"/>
              </w:rPr>
              <w:t>4</w:t>
            </w:r>
          </w:p>
        </w:tc>
        <w:tc>
          <w:tcPr>
            <w:tcW w:w="1009" w:type="dxa"/>
            <w:shd w:val="clear" w:color="auto" w:fill="auto"/>
            <w:vAlign w:val="center"/>
          </w:tcPr>
          <w:p>
            <w:pPr>
              <w:pStyle w:val="2"/>
              <w:jc w:val="center"/>
              <w:rPr>
                <w:kern w:val="0"/>
                <w:sz w:val="18"/>
                <w:szCs w:val="18"/>
              </w:rPr>
            </w:pPr>
            <w:r>
              <w:rPr>
                <w:rFonts w:hint="eastAsia"/>
                <w:kern w:val="0"/>
                <w:sz w:val="18"/>
                <w:szCs w:val="18"/>
              </w:rPr>
              <w:t>物流信息管理</w:t>
            </w:r>
          </w:p>
        </w:tc>
        <w:tc>
          <w:tcPr>
            <w:tcW w:w="1771" w:type="dxa"/>
            <w:shd w:val="clear" w:color="auto" w:fill="auto"/>
            <w:vAlign w:val="center"/>
          </w:tcPr>
          <w:p>
            <w:pPr>
              <w:pStyle w:val="2"/>
              <w:jc w:val="left"/>
              <w:rPr>
                <w:kern w:val="0"/>
                <w:sz w:val="18"/>
                <w:szCs w:val="18"/>
              </w:rPr>
            </w:pPr>
            <w:r>
              <w:rPr>
                <w:kern w:val="0"/>
                <w:sz w:val="18"/>
                <w:szCs w:val="18"/>
              </w:rPr>
              <w:t>4-1</w:t>
            </w:r>
            <w:r>
              <w:rPr>
                <w:rFonts w:hint="eastAsia"/>
                <w:kern w:val="0"/>
                <w:sz w:val="18"/>
                <w:szCs w:val="18"/>
              </w:rPr>
              <w:t>认知信息与物流信息</w:t>
            </w:r>
          </w:p>
          <w:p>
            <w:pPr>
              <w:pStyle w:val="2"/>
              <w:jc w:val="left"/>
              <w:rPr>
                <w:kern w:val="0"/>
                <w:sz w:val="18"/>
                <w:szCs w:val="18"/>
              </w:rPr>
            </w:pPr>
            <w:r>
              <w:rPr>
                <w:kern w:val="0"/>
                <w:sz w:val="18"/>
                <w:szCs w:val="18"/>
              </w:rPr>
              <w:t>4-</w:t>
            </w:r>
            <w:r>
              <w:rPr>
                <w:rFonts w:hint="eastAsia"/>
                <w:kern w:val="0"/>
                <w:sz w:val="18"/>
                <w:szCs w:val="18"/>
              </w:rPr>
              <w:t>2认知物流信息技术</w:t>
            </w:r>
            <w:r>
              <w:rPr>
                <w:kern w:val="0"/>
                <w:sz w:val="18"/>
                <w:szCs w:val="18"/>
              </w:rPr>
              <w:t>4-</w:t>
            </w:r>
            <w:r>
              <w:rPr>
                <w:rFonts w:hint="eastAsia"/>
                <w:kern w:val="0"/>
                <w:sz w:val="18"/>
                <w:szCs w:val="18"/>
              </w:rPr>
              <w:t>3条码技术与应用</w:t>
            </w:r>
          </w:p>
          <w:p>
            <w:pPr>
              <w:pStyle w:val="2"/>
              <w:jc w:val="left"/>
              <w:rPr>
                <w:kern w:val="0"/>
                <w:sz w:val="18"/>
                <w:szCs w:val="18"/>
              </w:rPr>
            </w:pPr>
            <w:r>
              <w:rPr>
                <w:kern w:val="0"/>
                <w:sz w:val="18"/>
                <w:szCs w:val="18"/>
              </w:rPr>
              <w:t>4-</w:t>
            </w:r>
            <w:r>
              <w:rPr>
                <w:rFonts w:hint="eastAsia"/>
                <w:kern w:val="0"/>
                <w:sz w:val="18"/>
                <w:szCs w:val="18"/>
              </w:rPr>
              <w:t>4射频技术与应用</w:t>
            </w:r>
            <w:r>
              <w:rPr>
                <w:kern w:val="0"/>
                <w:sz w:val="18"/>
                <w:szCs w:val="18"/>
              </w:rPr>
              <w:t>4-</w:t>
            </w:r>
            <w:r>
              <w:rPr>
                <w:rFonts w:hint="eastAsia"/>
                <w:kern w:val="0"/>
                <w:sz w:val="18"/>
                <w:szCs w:val="18"/>
              </w:rPr>
              <w:t>5GIS技术与应用</w:t>
            </w:r>
            <w:r>
              <w:rPr>
                <w:kern w:val="0"/>
                <w:sz w:val="18"/>
                <w:szCs w:val="18"/>
              </w:rPr>
              <w:t>4-</w:t>
            </w:r>
            <w:r>
              <w:rPr>
                <w:rFonts w:hint="eastAsia"/>
                <w:kern w:val="0"/>
                <w:sz w:val="18"/>
                <w:szCs w:val="18"/>
              </w:rPr>
              <w:t>6GPS技术与应用</w:t>
            </w:r>
            <w:r>
              <w:rPr>
                <w:kern w:val="0"/>
                <w:sz w:val="18"/>
                <w:szCs w:val="18"/>
              </w:rPr>
              <w:t>4-</w:t>
            </w:r>
            <w:r>
              <w:rPr>
                <w:rFonts w:hint="eastAsia"/>
                <w:kern w:val="0"/>
                <w:sz w:val="18"/>
                <w:szCs w:val="18"/>
              </w:rPr>
              <w:t>7EDI技术与应用</w:t>
            </w:r>
            <w:r>
              <w:rPr>
                <w:kern w:val="0"/>
                <w:sz w:val="18"/>
                <w:szCs w:val="18"/>
              </w:rPr>
              <w:t>4-</w:t>
            </w:r>
            <w:r>
              <w:rPr>
                <w:rFonts w:hint="eastAsia"/>
                <w:kern w:val="0"/>
                <w:sz w:val="18"/>
                <w:szCs w:val="18"/>
              </w:rPr>
              <w:t>8POS系统操作</w:t>
            </w:r>
          </w:p>
        </w:tc>
        <w:tc>
          <w:tcPr>
            <w:tcW w:w="2693" w:type="dxa"/>
            <w:shd w:val="clear" w:color="auto" w:fill="auto"/>
            <w:vAlign w:val="center"/>
          </w:tcPr>
          <w:p>
            <w:pPr>
              <w:pStyle w:val="2"/>
              <w:jc w:val="left"/>
              <w:rPr>
                <w:kern w:val="0"/>
                <w:sz w:val="18"/>
                <w:szCs w:val="18"/>
              </w:rPr>
            </w:pPr>
            <w:r>
              <w:rPr>
                <w:rFonts w:hint="eastAsia"/>
                <w:kern w:val="0"/>
                <w:sz w:val="18"/>
                <w:szCs w:val="18"/>
              </w:rPr>
              <w:t>主要内容：数据与信息的概念和特征；物流信息的特点，Barcode、RF、EDI、GPS和GIS等物流信息技术的工作原理；物流信息系统的构成和应用等。</w:t>
            </w:r>
          </w:p>
          <w:p>
            <w:pPr>
              <w:pStyle w:val="2"/>
              <w:jc w:val="left"/>
              <w:rPr>
                <w:kern w:val="0"/>
                <w:sz w:val="18"/>
                <w:szCs w:val="18"/>
              </w:rPr>
            </w:pPr>
            <w:r>
              <w:rPr>
                <w:rFonts w:hint="eastAsia"/>
                <w:kern w:val="0"/>
                <w:sz w:val="18"/>
                <w:szCs w:val="18"/>
              </w:rPr>
              <w:t>教学要求：能够根据条码知识建立商品条码库和条码标签的设计；能够根据企业的配送中心管理实际运作情况，进行简单的配送中心信息系统需求的分析。</w:t>
            </w:r>
          </w:p>
        </w:tc>
        <w:tc>
          <w:tcPr>
            <w:tcW w:w="2127" w:type="dxa"/>
            <w:shd w:val="clear" w:color="auto" w:fill="auto"/>
            <w:vAlign w:val="center"/>
          </w:tcPr>
          <w:p>
            <w:pPr>
              <w:pStyle w:val="2"/>
              <w:jc w:val="left"/>
              <w:rPr>
                <w:kern w:val="0"/>
                <w:sz w:val="18"/>
                <w:szCs w:val="18"/>
              </w:rPr>
            </w:pPr>
            <w:r>
              <w:rPr>
                <w:rFonts w:hint="eastAsia"/>
                <w:kern w:val="0"/>
                <w:sz w:val="18"/>
                <w:szCs w:val="18"/>
              </w:rPr>
              <w:t>1.厚植爱国主义情怀、增强民族自豪感；</w:t>
            </w:r>
          </w:p>
          <w:p>
            <w:pPr>
              <w:pStyle w:val="2"/>
              <w:jc w:val="left"/>
              <w:rPr>
                <w:kern w:val="0"/>
                <w:sz w:val="18"/>
                <w:szCs w:val="18"/>
              </w:rPr>
            </w:pPr>
            <w:r>
              <w:rPr>
                <w:rFonts w:hint="eastAsia"/>
                <w:kern w:val="0"/>
                <w:sz w:val="18"/>
                <w:szCs w:val="18"/>
              </w:rPr>
              <w:t>2.具备爱岗敬业、精益求精的精神；</w:t>
            </w:r>
          </w:p>
          <w:p>
            <w:pPr>
              <w:pStyle w:val="2"/>
              <w:jc w:val="left"/>
              <w:rPr>
                <w:kern w:val="0"/>
                <w:sz w:val="18"/>
                <w:szCs w:val="18"/>
              </w:rPr>
            </w:pPr>
            <w:r>
              <w:rPr>
                <w:rFonts w:hint="eastAsia"/>
                <w:kern w:val="0"/>
                <w:sz w:val="18"/>
                <w:szCs w:val="18"/>
              </w:rPr>
              <w:t>3.树立学生的文化自信和职业自豪感及认同感；</w:t>
            </w:r>
          </w:p>
          <w:p>
            <w:pPr>
              <w:pStyle w:val="2"/>
              <w:jc w:val="left"/>
              <w:rPr>
                <w:kern w:val="0"/>
                <w:sz w:val="18"/>
                <w:szCs w:val="18"/>
              </w:rPr>
            </w:pPr>
            <w:r>
              <w:rPr>
                <w:rFonts w:hint="eastAsia"/>
                <w:kern w:val="0"/>
                <w:sz w:val="18"/>
                <w:szCs w:val="18"/>
              </w:rPr>
              <w:t>4.培养学生创新创业意识；</w:t>
            </w:r>
          </w:p>
          <w:p>
            <w:pPr>
              <w:pStyle w:val="2"/>
              <w:jc w:val="left"/>
              <w:rPr>
                <w:kern w:val="0"/>
                <w:sz w:val="18"/>
                <w:szCs w:val="18"/>
              </w:rPr>
            </w:pPr>
            <w:r>
              <w:rPr>
                <w:rFonts w:hint="eastAsia"/>
                <w:kern w:val="0"/>
                <w:sz w:val="18"/>
                <w:szCs w:val="18"/>
              </w:rPr>
              <w:t>5.树立成本意识、创新、友善、团队协作精神，吃苦耐劳的品质，做到爱岗敬业。</w:t>
            </w:r>
          </w:p>
        </w:tc>
        <w:tc>
          <w:tcPr>
            <w:tcW w:w="992" w:type="dxa"/>
            <w:vAlign w:val="center"/>
          </w:tcPr>
          <w:p>
            <w:pPr>
              <w:pStyle w:val="2"/>
              <w:jc w:val="center"/>
              <w:rPr>
                <w:rFonts w:ascii="宋体" w:hAnsi="宋体"/>
                <w:sz w:val="20"/>
                <w:szCs w:val="20"/>
              </w:rPr>
            </w:pPr>
            <w:r>
              <w:rPr>
                <w:rFonts w:hint="eastAsia" w:ascii="宋体" w:hAnsi="宋体"/>
                <w:sz w:val="20"/>
                <w:szCs w:val="20"/>
              </w:rPr>
              <w:t>4</w:t>
            </w:r>
            <w:r>
              <w:rPr>
                <w:rFonts w:ascii="宋体" w:hAnsi="宋体"/>
                <w:sz w:val="20"/>
                <w:szCs w:val="20"/>
              </w:rPr>
              <w:t>/64</w:t>
            </w:r>
          </w:p>
        </w:tc>
      </w:tr>
    </w:tbl>
    <w:p>
      <w:pPr>
        <w:spacing w:line="400" w:lineRule="exact"/>
        <w:ind w:firstLine="422" w:firstLineChars="200"/>
        <w:jc w:val="left"/>
        <w:rPr>
          <w:b/>
          <w:bCs/>
          <w:color w:val="000000"/>
          <w:kern w:val="0"/>
          <w:szCs w:val="21"/>
        </w:rPr>
      </w:pPr>
      <w:r>
        <w:rPr>
          <w:b/>
          <w:bCs/>
          <w:color w:val="000000"/>
          <w:kern w:val="0"/>
          <w:szCs w:val="21"/>
        </w:rPr>
        <w:t>（四）综合实践课</w:t>
      </w:r>
    </w:p>
    <w:p>
      <w:pPr>
        <w:pStyle w:val="2"/>
        <w:jc w:val="center"/>
        <w:rPr>
          <w:rFonts w:eastAsia="仿宋"/>
          <w:i/>
          <w:iCs/>
          <w:color w:val="0000FF"/>
          <w:kern w:val="0"/>
          <w:sz w:val="18"/>
          <w:szCs w:val="18"/>
        </w:rPr>
      </w:pPr>
      <w:r>
        <w:rPr>
          <w:b/>
          <w:bCs/>
          <w:color w:val="000000"/>
          <w:sz w:val="18"/>
          <w:szCs w:val="18"/>
        </w:rPr>
        <w:t>表9综合实践课程主要教学内容与要求</w:t>
      </w:r>
    </w:p>
    <w:tbl>
      <w:tblPr>
        <w:tblStyle w:val="13"/>
        <w:tblW w:w="0" w:type="auto"/>
        <w:tblInd w:w="-318"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35"/>
        <w:gridCol w:w="709"/>
        <w:gridCol w:w="850"/>
        <w:gridCol w:w="6146"/>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35" w:type="dxa"/>
            <w:shd w:val="clear" w:color="auto" w:fill="F1F1F1" w:themeFill="background1" w:themeFillShade="F2"/>
          </w:tcPr>
          <w:p>
            <w:pPr>
              <w:pStyle w:val="2"/>
              <w:jc w:val="center"/>
              <w:rPr>
                <w:kern w:val="0"/>
                <w:sz w:val="18"/>
                <w:szCs w:val="18"/>
              </w:rPr>
            </w:pPr>
            <w:r>
              <w:rPr>
                <w:kern w:val="0"/>
                <w:sz w:val="18"/>
                <w:szCs w:val="18"/>
              </w:rPr>
              <w:t>实践环节</w:t>
            </w:r>
          </w:p>
        </w:tc>
        <w:tc>
          <w:tcPr>
            <w:tcW w:w="709" w:type="dxa"/>
            <w:shd w:val="clear" w:color="auto" w:fill="F1F1F1" w:themeFill="background1" w:themeFillShade="F2"/>
          </w:tcPr>
          <w:p>
            <w:pPr>
              <w:pStyle w:val="2"/>
              <w:jc w:val="center"/>
              <w:rPr>
                <w:kern w:val="0"/>
                <w:sz w:val="18"/>
                <w:szCs w:val="18"/>
              </w:rPr>
            </w:pPr>
            <w:r>
              <w:rPr>
                <w:kern w:val="0"/>
                <w:sz w:val="18"/>
                <w:szCs w:val="18"/>
              </w:rPr>
              <w:t>学期</w:t>
            </w:r>
          </w:p>
        </w:tc>
        <w:tc>
          <w:tcPr>
            <w:tcW w:w="850" w:type="dxa"/>
            <w:shd w:val="clear" w:color="auto" w:fill="F1F1F1" w:themeFill="background1" w:themeFillShade="F2"/>
          </w:tcPr>
          <w:p>
            <w:pPr>
              <w:pStyle w:val="2"/>
              <w:jc w:val="center"/>
              <w:rPr>
                <w:kern w:val="0"/>
                <w:sz w:val="18"/>
                <w:szCs w:val="18"/>
              </w:rPr>
            </w:pPr>
            <w:r>
              <w:rPr>
                <w:kern w:val="0"/>
                <w:sz w:val="18"/>
                <w:szCs w:val="18"/>
              </w:rPr>
              <w:t>周数</w:t>
            </w:r>
          </w:p>
        </w:tc>
        <w:tc>
          <w:tcPr>
            <w:tcW w:w="6146" w:type="dxa"/>
            <w:shd w:val="clear" w:color="auto" w:fill="F1F1F1" w:themeFill="background1" w:themeFillShade="F2"/>
          </w:tcPr>
          <w:p>
            <w:pPr>
              <w:pStyle w:val="2"/>
              <w:jc w:val="center"/>
              <w:rPr>
                <w:kern w:val="0"/>
                <w:sz w:val="18"/>
                <w:szCs w:val="18"/>
              </w:rPr>
            </w:pPr>
            <w:r>
              <w:rPr>
                <w:kern w:val="0"/>
                <w:sz w:val="18"/>
                <w:szCs w:val="18"/>
              </w:rPr>
              <w:t>主要内容及要求</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35" w:type="dxa"/>
            <w:shd w:val="clear" w:color="auto" w:fill="auto"/>
            <w:vAlign w:val="center"/>
          </w:tcPr>
          <w:p>
            <w:pPr>
              <w:pStyle w:val="2"/>
              <w:jc w:val="center"/>
              <w:rPr>
                <w:kern w:val="0"/>
                <w:sz w:val="18"/>
                <w:szCs w:val="18"/>
              </w:rPr>
            </w:pPr>
            <w:r>
              <w:rPr>
                <w:rFonts w:hint="eastAsia"/>
                <w:kern w:val="0"/>
                <w:sz w:val="18"/>
                <w:szCs w:val="18"/>
              </w:rPr>
              <w:t>专业认知实训</w:t>
            </w:r>
          </w:p>
        </w:tc>
        <w:tc>
          <w:tcPr>
            <w:tcW w:w="709" w:type="dxa"/>
            <w:shd w:val="clear" w:color="auto" w:fill="auto"/>
            <w:vAlign w:val="center"/>
          </w:tcPr>
          <w:p>
            <w:pPr>
              <w:pStyle w:val="2"/>
              <w:jc w:val="center"/>
              <w:rPr>
                <w:kern w:val="0"/>
                <w:sz w:val="18"/>
                <w:szCs w:val="18"/>
              </w:rPr>
            </w:pPr>
            <w:r>
              <w:rPr>
                <w:kern w:val="0"/>
                <w:sz w:val="18"/>
                <w:szCs w:val="18"/>
              </w:rPr>
              <w:t>1</w:t>
            </w:r>
          </w:p>
        </w:tc>
        <w:tc>
          <w:tcPr>
            <w:tcW w:w="850" w:type="dxa"/>
            <w:shd w:val="clear" w:color="auto" w:fill="auto"/>
            <w:vAlign w:val="center"/>
          </w:tcPr>
          <w:p>
            <w:pPr>
              <w:pStyle w:val="2"/>
              <w:jc w:val="center"/>
              <w:rPr>
                <w:kern w:val="0"/>
                <w:sz w:val="18"/>
                <w:szCs w:val="18"/>
              </w:rPr>
            </w:pPr>
            <w:r>
              <w:rPr>
                <w:kern w:val="0"/>
                <w:sz w:val="18"/>
                <w:szCs w:val="18"/>
              </w:rPr>
              <w:t>1</w:t>
            </w:r>
          </w:p>
        </w:tc>
        <w:tc>
          <w:tcPr>
            <w:tcW w:w="6146" w:type="dxa"/>
            <w:shd w:val="clear" w:color="auto" w:fill="auto"/>
          </w:tcPr>
          <w:p>
            <w:pPr>
              <w:pStyle w:val="2"/>
              <w:keepNext w:val="0"/>
              <w:keepLines w:val="0"/>
              <w:pageBreakBefore w:val="0"/>
              <w:widowControl w:val="0"/>
              <w:numPr>
                <w:ilvl w:val="0"/>
                <w:numId w:val="7"/>
              </w:numPr>
              <w:kinsoku/>
              <w:wordWrap/>
              <w:overflowPunct/>
              <w:topLinePunct w:val="0"/>
              <w:autoSpaceDE/>
              <w:autoSpaceDN/>
              <w:bidi w:val="0"/>
              <w:adjustRightInd/>
              <w:snapToGrid/>
              <w:ind w:left="283" w:hanging="283"/>
              <w:jc w:val="left"/>
              <w:textAlignment w:val="auto"/>
              <w:rPr>
                <w:kern w:val="0"/>
                <w:sz w:val="18"/>
                <w:szCs w:val="18"/>
              </w:rPr>
            </w:pPr>
            <w:r>
              <w:rPr>
                <w:rFonts w:hint="eastAsia"/>
                <w:kern w:val="0"/>
                <w:sz w:val="18"/>
                <w:szCs w:val="18"/>
              </w:rPr>
              <w:t>初步培养学生对物流的基本认识；</w:t>
            </w:r>
          </w:p>
          <w:p>
            <w:pPr>
              <w:pStyle w:val="2"/>
              <w:keepNext w:val="0"/>
              <w:keepLines w:val="0"/>
              <w:pageBreakBefore w:val="0"/>
              <w:widowControl w:val="0"/>
              <w:numPr>
                <w:ilvl w:val="0"/>
                <w:numId w:val="7"/>
              </w:numPr>
              <w:kinsoku/>
              <w:wordWrap/>
              <w:overflowPunct/>
              <w:topLinePunct w:val="0"/>
              <w:autoSpaceDE/>
              <w:autoSpaceDN/>
              <w:bidi w:val="0"/>
              <w:adjustRightInd/>
              <w:snapToGrid/>
              <w:ind w:left="283" w:hanging="283"/>
              <w:jc w:val="left"/>
              <w:textAlignment w:val="auto"/>
              <w:rPr>
                <w:kern w:val="0"/>
                <w:sz w:val="18"/>
                <w:szCs w:val="18"/>
              </w:rPr>
            </w:pPr>
            <w:r>
              <w:rPr>
                <w:rFonts w:hint="eastAsia"/>
                <w:kern w:val="0"/>
                <w:sz w:val="18"/>
                <w:szCs w:val="18"/>
              </w:rPr>
              <w:t>培养学生认识物流企业；</w:t>
            </w:r>
          </w:p>
          <w:p>
            <w:pPr>
              <w:pStyle w:val="2"/>
              <w:keepNext w:val="0"/>
              <w:keepLines w:val="0"/>
              <w:pageBreakBefore w:val="0"/>
              <w:widowControl w:val="0"/>
              <w:numPr>
                <w:ilvl w:val="0"/>
                <w:numId w:val="7"/>
              </w:numPr>
              <w:kinsoku/>
              <w:wordWrap/>
              <w:overflowPunct/>
              <w:topLinePunct w:val="0"/>
              <w:autoSpaceDE/>
              <w:autoSpaceDN/>
              <w:bidi w:val="0"/>
              <w:adjustRightInd/>
              <w:snapToGrid/>
              <w:ind w:left="283" w:hanging="283"/>
              <w:jc w:val="left"/>
              <w:textAlignment w:val="auto"/>
              <w:rPr>
                <w:kern w:val="0"/>
                <w:sz w:val="18"/>
                <w:szCs w:val="18"/>
              </w:rPr>
            </w:pPr>
            <w:r>
              <w:rPr>
                <w:rFonts w:hint="eastAsia"/>
                <w:kern w:val="0"/>
                <w:sz w:val="18"/>
                <w:szCs w:val="18"/>
              </w:rPr>
              <w:t>培养学生认识物流岗位。</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35" w:type="dxa"/>
            <w:shd w:val="clear" w:color="auto" w:fill="auto"/>
            <w:vAlign w:val="center"/>
          </w:tcPr>
          <w:p>
            <w:pPr>
              <w:jc w:val="center"/>
              <w:rPr>
                <w:rFonts w:ascii="宋体" w:hAnsi="宋体" w:cs="宋体"/>
                <w:sz w:val="18"/>
                <w:szCs w:val="18"/>
              </w:rPr>
            </w:pPr>
            <w:r>
              <w:rPr>
                <w:rFonts w:hint="eastAsia" w:ascii="宋体" w:hAnsi="宋体" w:cs="宋体"/>
                <w:sz w:val="18"/>
                <w:szCs w:val="18"/>
              </w:rPr>
              <w:t>企业经营沙盘对抗</w:t>
            </w:r>
          </w:p>
        </w:tc>
        <w:tc>
          <w:tcPr>
            <w:tcW w:w="709" w:type="dxa"/>
            <w:shd w:val="clear" w:color="auto" w:fill="auto"/>
            <w:vAlign w:val="center"/>
          </w:tcPr>
          <w:p>
            <w:pPr>
              <w:jc w:val="center"/>
              <w:rPr>
                <w:rFonts w:ascii="宋体" w:hAnsi="宋体" w:cs="宋体"/>
                <w:sz w:val="18"/>
                <w:szCs w:val="18"/>
              </w:rPr>
            </w:pPr>
            <w:r>
              <w:rPr>
                <w:rFonts w:ascii="宋体" w:hAnsi="宋体" w:cs="宋体"/>
                <w:sz w:val="18"/>
                <w:szCs w:val="18"/>
              </w:rPr>
              <w:t>1</w:t>
            </w:r>
          </w:p>
        </w:tc>
        <w:tc>
          <w:tcPr>
            <w:tcW w:w="850" w:type="dxa"/>
            <w:shd w:val="clear" w:color="auto" w:fill="auto"/>
            <w:vAlign w:val="center"/>
          </w:tcPr>
          <w:p>
            <w:pPr>
              <w:jc w:val="center"/>
              <w:rPr>
                <w:rFonts w:ascii="宋体" w:hAnsi="宋体" w:cs="宋体"/>
                <w:sz w:val="18"/>
                <w:szCs w:val="18"/>
              </w:rPr>
            </w:pPr>
            <w:r>
              <w:rPr>
                <w:rFonts w:ascii="宋体" w:hAnsi="宋体" w:cs="宋体"/>
                <w:sz w:val="18"/>
                <w:szCs w:val="18"/>
              </w:rPr>
              <w:t>1</w:t>
            </w:r>
          </w:p>
        </w:tc>
        <w:tc>
          <w:tcPr>
            <w:tcW w:w="6146" w:type="dxa"/>
            <w:shd w:val="clear" w:color="auto" w:fill="auto"/>
            <w:vAlign w:val="center"/>
          </w:tcPr>
          <w:p>
            <w:pPr>
              <w:pStyle w:val="17"/>
              <w:keepNext w:val="0"/>
              <w:keepLines w:val="0"/>
              <w:pageBreakBefore w:val="0"/>
              <w:widowControl w:val="0"/>
              <w:numPr>
                <w:ilvl w:val="0"/>
                <w:numId w:val="8"/>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掌握企业经营过程中的一些常规术语，如：流动资产、固定资产、负债、所有者权益、折旧、贷款额度、采购价格、利润留存等；</w:t>
            </w:r>
          </w:p>
          <w:p>
            <w:pPr>
              <w:pStyle w:val="17"/>
              <w:keepNext w:val="0"/>
              <w:keepLines w:val="0"/>
              <w:pageBreakBefore w:val="0"/>
              <w:widowControl w:val="0"/>
              <w:numPr>
                <w:ilvl w:val="0"/>
                <w:numId w:val="8"/>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掌握制造企业经营的运营规则，了解一个制造企业的企业战略、销售、财务管理、生产制造、仓储管理等方面的知识与技能；</w:t>
            </w:r>
          </w:p>
          <w:p>
            <w:pPr>
              <w:pStyle w:val="17"/>
              <w:keepNext w:val="0"/>
              <w:keepLines w:val="0"/>
              <w:pageBreakBefore w:val="0"/>
              <w:widowControl w:val="0"/>
              <w:numPr>
                <w:ilvl w:val="0"/>
                <w:numId w:val="8"/>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能够完成6年的生产制造企业经营实战演练，合理地进行预测和决策。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35" w:type="dxa"/>
            <w:shd w:val="clear" w:color="auto" w:fill="auto"/>
            <w:vAlign w:val="center"/>
          </w:tcPr>
          <w:p>
            <w:pPr>
              <w:jc w:val="center"/>
              <w:rPr>
                <w:rFonts w:ascii="宋体" w:hAnsi="宋体" w:cs="宋体"/>
                <w:sz w:val="18"/>
                <w:szCs w:val="18"/>
              </w:rPr>
            </w:pPr>
            <w:r>
              <w:rPr>
                <w:rFonts w:hint="eastAsia" w:ascii="宋体" w:hAnsi="宋体" w:cs="宋体"/>
                <w:sz w:val="18"/>
                <w:szCs w:val="18"/>
              </w:rPr>
              <w:t>物流运营实训</w:t>
            </w:r>
          </w:p>
        </w:tc>
        <w:tc>
          <w:tcPr>
            <w:tcW w:w="709" w:type="dxa"/>
            <w:shd w:val="clear" w:color="auto" w:fill="auto"/>
            <w:vAlign w:val="center"/>
          </w:tcPr>
          <w:p>
            <w:pPr>
              <w:jc w:val="center"/>
              <w:rPr>
                <w:rFonts w:ascii="宋体" w:hAnsi="宋体" w:cs="宋体"/>
                <w:sz w:val="18"/>
                <w:szCs w:val="18"/>
              </w:rPr>
            </w:pPr>
            <w:r>
              <w:rPr>
                <w:rFonts w:ascii="宋体" w:hAnsi="宋体" w:cs="宋体"/>
                <w:sz w:val="18"/>
                <w:szCs w:val="18"/>
              </w:rPr>
              <w:t>2</w:t>
            </w:r>
          </w:p>
        </w:tc>
        <w:tc>
          <w:tcPr>
            <w:tcW w:w="850" w:type="dxa"/>
            <w:shd w:val="clear" w:color="auto" w:fill="auto"/>
            <w:vAlign w:val="center"/>
          </w:tcPr>
          <w:p>
            <w:pPr>
              <w:jc w:val="center"/>
              <w:rPr>
                <w:rFonts w:ascii="宋体" w:hAnsi="宋体" w:cs="宋体"/>
                <w:sz w:val="18"/>
                <w:szCs w:val="18"/>
              </w:rPr>
            </w:pPr>
            <w:r>
              <w:rPr>
                <w:rFonts w:hint="eastAsia" w:ascii="宋体" w:hAnsi="宋体" w:cs="宋体"/>
                <w:sz w:val="18"/>
                <w:szCs w:val="18"/>
              </w:rPr>
              <w:t>2</w:t>
            </w:r>
          </w:p>
        </w:tc>
        <w:tc>
          <w:tcPr>
            <w:tcW w:w="6146" w:type="dxa"/>
            <w:shd w:val="clear" w:color="auto" w:fill="auto"/>
            <w:vAlign w:val="center"/>
          </w:tcPr>
          <w:p>
            <w:pPr>
              <w:pStyle w:val="17"/>
              <w:keepNext w:val="0"/>
              <w:keepLines w:val="0"/>
              <w:pageBreakBefore w:val="0"/>
              <w:widowControl w:val="0"/>
              <w:numPr>
                <w:ilvl w:val="0"/>
                <w:numId w:val="9"/>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通过分别扮演CEO、人力资源经理、财务经理、仓储经理、运输经理、市场经理等角色，了解一个典型物流企业的市场运作，或者去物流运营企业实训2周；</w:t>
            </w:r>
          </w:p>
          <w:p>
            <w:pPr>
              <w:pStyle w:val="17"/>
              <w:keepNext w:val="0"/>
              <w:keepLines w:val="0"/>
              <w:pageBreakBefore w:val="0"/>
              <w:widowControl w:val="0"/>
              <w:numPr>
                <w:ilvl w:val="0"/>
                <w:numId w:val="9"/>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能够完成6年的物流企业经营实战演练，合理地进行预测和决策。</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1135" w:type="dxa"/>
            <w:shd w:val="clear" w:color="auto" w:fill="auto"/>
            <w:vAlign w:val="center"/>
          </w:tcPr>
          <w:p>
            <w:pPr>
              <w:jc w:val="center"/>
              <w:rPr>
                <w:rFonts w:ascii="宋体" w:hAnsi="宋体" w:cs="宋体"/>
                <w:sz w:val="18"/>
                <w:szCs w:val="18"/>
              </w:rPr>
            </w:pPr>
            <w:r>
              <w:rPr>
                <w:rFonts w:hint="eastAsia" w:ascii="宋体" w:hAnsi="宋体" w:cs="宋体"/>
                <w:sz w:val="18"/>
                <w:szCs w:val="18"/>
              </w:rPr>
              <w:t>专业劳动教育暑期社会实践</w:t>
            </w:r>
          </w:p>
        </w:tc>
        <w:tc>
          <w:tcPr>
            <w:tcW w:w="709" w:type="dxa"/>
            <w:shd w:val="clear" w:color="auto" w:fill="auto"/>
            <w:vAlign w:val="center"/>
          </w:tcPr>
          <w:p>
            <w:pPr>
              <w:jc w:val="center"/>
              <w:rPr>
                <w:rFonts w:ascii="宋体" w:hAnsi="宋体" w:cs="宋体"/>
                <w:sz w:val="18"/>
                <w:szCs w:val="18"/>
              </w:rPr>
            </w:pPr>
            <w:r>
              <w:rPr>
                <w:rFonts w:hint="eastAsia" w:ascii="宋体" w:hAnsi="宋体" w:cs="宋体"/>
                <w:sz w:val="18"/>
                <w:szCs w:val="18"/>
              </w:rPr>
              <w:t>3</w:t>
            </w:r>
          </w:p>
        </w:tc>
        <w:tc>
          <w:tcPr>
            <w:tcW w:w="850" w:type="dxa"/>
            <w:shd w:val="clear" w:color="auto" w:fill="auto"/>
            <w:vAlign w:val="center"/>
          </w:tcPr>
          <w:p>
            <w:pPr>
              <w:jc w:val="center"/>
              <w:rPr>
                <w:rFonts w:ascii="宋体" w:hAnsi="宋体" w:cs="宋体"/>
                <w:sz w:val="18"/>
                <w:szCs w:val="18"/>
              </w:rPr>
            </w:pPr>
            <w:r>
              <w:rPr>
                <w:rFonts w:hint="eastAsia" w:ascii="宋体" w:hAnsi="宋体" w:cs="宋体"/>
                <w:sz w:val="18"/>
                <w:szCs w:val="18"/>
              </w:rPr>
              <w:t>1</w:t>
            </w:r>
          </w:p>
        </w:tc>
        <w:tc>
          <w:tcPr>
            <w:tcW w:w="6146" w:type="dxa"/>
            <w:shd w:val="clear" w:color="auto" w:fill="auto"/>
            <w:vAlign w:val="center"/>
          </w:tcPr>
          <w:p>
            <w:pPr>
              <w:pStyle w:val="17"/>
              <w:keepNext w:val="0"/>
              <w:keepLines w:val="0"/>
              <w:pageBreakBefore w:val="0"/>
              <w:widowControl w:val="0"/>
              <w:numPr>
                <w:ilvl w:val="0"/>
                <w:numId w:val="9"/>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围绕区域特色产业集群进行物流企业运营，开展劳动教育，展现数字贸易时代的工匠精神。</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1135" w:type="dxa"/>
            <w:shd w:val="clear" w:color="auto" w:fill="auto"/>
            <w:vAlign w:val="center"/>
          </w:tcPr>
          <w:p>
            <w:pPr>
              <w:spacing w:line="360" w:lineRule="exact"/>
              <w:jc w:val="center"/>
              <w:rPr>
                <w:sz w:val="18"/>
                <w:szCs w:val="18"/>
              </w:rPr>
            </w:pPr>
            <w:r>
              <w:rPr>
                <w:rFonts w:hint="eastAsia"/>
                <w:sz w:val="18"/>
                <w:szCs w:val="18"/>
              </w:rPr>
              <w:t>毕业实习</w:t>
            </w:r>
          </w:p>
        </w:tc>
        <w:tc>
          <w:tcPr>
            <w:tcW w:w="709" w:type="dxa"/>
            <w:shd w:val="clear" w:color="auto" w:fill="auto"/>
            <w:vAlign w:val="center"/>
          </w:tcPr>
          <w:p>
            <w:pPr>
              <w:spacing w:line="360" w:lineRule="exact"/>
              <w:jc w:val="center"/>
              <w:rPr>
                <w:rFonts w:ascii="宋体" w:hAnsi="宋体" w:cs="宋体"/>
                <w:sz w:val="18"/>
                <w:szCs w:val="18"/>
              </w:rPr>
            </w:pPr>
            <w:r>
              <w:rPr>
                <w:rFonts w:ascii="宋体" w:hAnsi="宋体" w:cs="宋体"/>
                <w:sz w:val="18"/>
                <w:szCs w:val="18"/>
              </w:rPr>
              <w:t>4</w:t>
            </w:r>
          </w:p>
        </w:tc>
        <w:tc>
          <w:tcPr>
            <w:tcW w:w="850" w:type="dxa"/>
            <w:shd w:val="clear" w:color="auto" w:fill="auto"/>
            <w:vAlign w:val="center"/>
          </w:tcPr>
          <w:p>
            <w:pPr>
              <w:spacing w:line="360" w:lineRule="exact"/>
              <w:jc w:val="center"/>
              <w:rPr>
                <w:rFonts w:ascii="宋体" w:hAnsi="宋体" w:cs="宋体"/>
                <w:sz w:val="18"/>
                <w:szCs w:val="18"/>
              </w:rPr>
            </w:pPr>
            <w:r>
              <w:rPr>
                <w:rFonts w:ascii="宋体" w:hAnsi="宋体" w:cs="宋体"/>
                <w:sz w:val="18"/>
                <w:szCs w:val="18"/>
              </w:rPr>
              <w:t>12</w:t>
            </w:r>
          </w:p>
        </w:tc>
        <w:tc>
          <w:tcPr>
            <w:tcW w:w="6146" w:type="dxa"/>
            <w:shd w:val="clear" w:color="auto" w:fill="auto"/>
            <w:vAlign w:val="center"/>
          </w:tcPr>
          <w:p>
            <w:pPr>
              <w:pStyle w:val="17"/>
              <w:keepNext w:val="0"/>
              <w:keepLines w:val="0"/>
              <w:pageBreakBefore w:val="0"/>
              <w:widowControl w:val="0"/>
              <w:numPr>
                <w:ilvl w:val="0"/>
                <w:numId w:val="10"/>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在仓储管理、运输管理、采购、物流客服或生产计划等岗位上通过企业实习，掌握相关岗位的操作技能，掌握基本知识，为今后的职业发展奠定一定的基础，并积累宝贵的工作经验。</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1135" w:type="dxa"/>
            <w:shd w:val="clear" w:color="auto" w:fill="auto"/>
            <w:vAlign w:val="center"/>
          </w:tcPr>
          <w:p>
            <w:pPr>
              <w:jc w:val="center"/>
              <w:rPr>
                <w:rFonts w:ascii="宋体" w:hAnsi="宋体" w:cs="宋体"/>
                <w:sz w:val="18"/>
                <w:szCs w:val="18"/>
              </w:rPr>
            </w:pPr>
            <w:r>
              <w:rPr>
                <w:rFonts w:hint="eastAsia" w:ascii="宋体" w:hAnsi="宋体" w:cs="宋体"/>
                <w:sz w:val="18"/>
                <w:szCs w:val="18"/>
              </w:rPr>
              <w:t>毕业设计</w:t>
            </w:r>
          </w:p>
        </w:tc>
        <w:tc>
          <w:tcPr>
            <w:tcW w:w="709" w:type="dxa"/>
            <w:shd w:val="clear" w:color="auto" w:fill="auto"/>
            <w:vAlign w:val="center"/>
          </w:tcPr>
          <w:p>
            <w:pPr>
              <w:jc w:val="center"/>
              <w:rPr>
                <w:rFonts w:ascii="宋体" w:hAnsi="宋体" w:cs="宋体"/>
                <w:sz w:val="18"/>
                <w:szCs w:val="18"/>
              </w:rPr>
            </w:pPr>
            <w:r>
              <w:rPr>
                <w:rFonts w:ascii="宋体" w:hAnsi="宋体" w:cs="宋体"/>
                <w:sz w:val="18"/>
                <w:szCs w:val="18"/>
              </w:rPr>
              <w:t>4</w:t>
            </w:r>
          </w:p>
        </w:tc>
        <w:tc>
          <w:tcPr>
            <w:tcW w:w="850" w:type="dxa"/>
            <w:shd w:val="clear" w:color="auto" w:fill="auto"/>
            <w:vAlign w:val="center"/>
          </w:tcPr>
          <w:p>
            <w:pPr>
              <w:jc w:val="center"/>
              <w:rPr>
                <w:rFonts w:ascii="宋体" w:hAnsi="宋体" w:cs="宋体"/>
                <w:sz w:val="18"/>
                <w:szCs w:val="18"/>
              </w:rPr>
            </w:pPr>
            <w:r>
              <w:rPr>
                <w:rFonts w:hint="eastAsia" w:ascii="宋体" w:hAnsi="宋体" w:cs="宋体"/>
                <w:sz w:val="18"/>
                <w:szCs w:val="18"/>
              </w:rPr>
              <w:t>6</w:t>
            </w:r>
          </w:p>
        </w:tc>
        <w:tc>
          <w:tcPr>
            <w:tcW w:w="6146" w:type="dxa"/>
            <w:shd w:val="clear" w:color="auto" w:fill="auto"/>
            <w:vAlign w:val="center"/>
          </w:tcPr>
          <w:p>
            <w:pPr>
              <w:pStyle w:val="17"/>
              <w:keepNext w:val="0"/>
              <w:keepLines w:val="0"/>
              <w:pageBreakBefore w:val="0"/>
              <w:widowControl w:val="0"/>
              <w:numPr>
                <w:ilvl w:val="0"/>
                <w:numId w:val="10"/>
              </w:numPr>
              <w:kinsoku/>
              <w:wordWrap/>
              <w:overflowPunct/>
              <w:topLinePunct w:val="0"/>
              <w:autoSpaceDE/>
              <w:autoSpaceDN/>
              <w:bidi w:val="0"/>
              <w:adjustRightInd/>
              <w:snapToGrid/>
              <w:spacing w:line="360" w:lineRule="exact"/>
              <w:ind w:left="283" w:hanging="283" w:firstLineChars="0"/>
              <w:jc w:val="left"/>
              <w:textAlignment w:val="auto"/>
              <w:rPr>
                <w:rFonts w:ascii="宋体" w:hAnsi="宋体" w:cs="宋体"/>
                <w:sz w:val="18"/>
                <w:szCs w:val="18"/>
              </w:rPr>
            </w:pPr>
            <w:r>
              <w:rPr>
                <w:rFonts w:hint="eastAsia" w:ascii="宋体" w:hAnsi="宋体" w:cs="宋体"/>
                <w:sz w:val="18"/>
                <w:szCs w:val="18"/>
              </w:rPr>
              <w:t>参见毕业设计相关内容及要求。</w:t>
            </w:r>
          </w:p>
        </w:tc>
      </w:tr>
    </w:tbl>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七、教学进程及学时安排</w:t>
      </w:r>
    </w:p>
    <w:p>
      <w:pPr>
        <w:spacing w:line="400" w:lineRule="exact"/>
        <w:ind w:firstLine="422" w:firstLineChars="200"/>
        <w:jc w:val="left"/>
        <w:rPr>
          <w:b/>
          <w:bCs/>
          <w:color w:val="000000"/>
          <w:kern w:val="0"/>
          <w:szCs w:val="21"/>
        </w:rPr>
      </w:pPr>
      <w:r>
        <w:rPr>
          <w:b/>
          <w:bCs/>
          <w:color w:val="000000"/>
          <w:kern w:val="0"/>
          <w:szCs w:val="21"/>
        </w:rPr>
        <w:t>（一）教学周数安排表</w:t>
      </w:r>
    </w:p>
    <w:p>
      <w:pPr>
        <w:pStyle w:val="5"/>
        <w:keepNext/>
        <w:jc w:val="center"/>
        <w:rPr>
          <w:rFonts w:ascii="Times New Roman" w:hAnsi="Times New Roman" w:eastAsiaTheme="minorEastAsia"/>
          <w:b/>
          <w:bCs/>
          <w:sz w:val="18"/>
          <w:szCs w:val="18"/>
        </w:rPr>
      </w:pPr>
      <w:r>
        <w:rPr>
          <w:rFonts w:ascii="Times New Roman" w:hAnsi="Times New Roman" w:eastAsiaTheme="minorEastAsia"/>
          <w:b/>
          <w:bCs/>
          <w:sz w:val="18"/>
          <w:szCs w:val="18"/>
        </w:rPr>
        <w:t>表</w:t>
      </w:r>
      <w:r>
        <w:rPr>
          <w:rFonts w:ascii="Times New Roman" w:hAnsi="Times New Roman" w:eastAsiaTheme="minorEastAsia"/>
          <w:b/>
          <w:bCs/>
          <w:sz w:val="18"/>
          <w:szCs w:val="18"/>
        </w:rPr>
        <w:fldChar w:fldCharType="begin"/>
      </w:r>
      <w:r>
        <w:rPr>
          <w:rFonts w:ascii="Times New Roman" w:hAnsi="Times New Roman" w:eastAsiaTheme="minorEastAsia"/>
          <w:b/>
          <w:bCs/>
          <w:sz w:val="18"/>
          <w:szCs w:val="18"/>
        </w:rPr>
        <w:instrText xml:space="preserve"> SEQ 表 \* ARABIC </w:instrText>
      </w:r>
      <w:r>
        <w:rPr>
          <w:rFonts w:ascii="Times New Roman" w:hAnsi="Times New Roman" w:eastAsiaTheme="minorEastAsia"/>
          <w:b/>
          <w:bCs/>
          <w:sz w:val="18"/>
          <w:szCs w:val="18"/>
        </w:rPr>
        <w:fldChar w:fldCharType="separate"/>
      </w:r>
      <w:r>
        <w:rPr>
          <w:rFonts w:ascii="Times New Roman" w:hAnsi="Times New Roman" w:eastAsiaTheme="minorEastAsia"/>
          <w:b/>
          <w:bCs/>
          <w:sz w:val="18"/>
          <w:szCs w:val="18"/>
        </w:rPr>
        <w:t>1</w:t>
      </w:r>
      <w:r>
        <w:rPr>
          <w:rFonts w:ascii="Times New Roman" w:hAnsi="Times New Roman" w:eastAsiaTheme="minorEastAsia"/>
          <w:b/>
          <w:bCs/>
          <w:sz w:val="18"/>
          <w:szCs w:val="18"/>
        </w:rPr>
        <w:fldChar w:fldCharType="end"/>
      </w:r>
      <w:r>
        <w:rPr>
          <w:rFonts w:ascii="Times New Roman" w:hAnsi="Times New Roman" w:eastAsiaTheme="minorEastAsia"/>
          <w:b/>
          <w:bCs/>
          <w:sz w:val="18"/>
          <w:szCs w:val="18"/>
        </w:rPr>
        <w:t>0教学周数安排表</w:t>
      </w:r>
    </w:p>
    <w:tbl>
      <w:tblPr>
        <w:tblStyle w:val="13"/>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5"/>
        <w:gridCol w:w="811"/>
        <w:gridCol w:w="811"/>
        <w:gridCol w:w="819"/>
        <w:gridCol w:w="811"/>
        <w:gridCol w:w="1256"/>
        <w:gridCol w:w="1100"/>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5" w:type="dxa"/>
            <w:vMerge w:val="restart"/>
            <w:shd w:val="clear" w:color="auto" w:fill="F1F1F1" w:themeFill="background1" w:themeFillShade="F2"/>
          </w:tcPr>
          <w:p>
            <w:pPr>
              <w:ind w:firstLine="1260" w:firstLineChars="700"/>
              <w:rPr>
                <w:rFonts w:eastAsiaTheme="minorEastAsia"/>
                <w:color w:val="000000"/>
                <w:sz w:val="18"/>
                <w:szCs w:val="18"/>
              </w:rPr>
            </w:pPr>
            <w:r>
              <w:rPr>
                <w:rFonts w:eastAsiaTheme="minorEastAsia"/>
                <w:color w:val="000000"/>
                <w:sz w:val="18"/>
                <w:szCs w:val="18"/>
              </w:rPr>
              <w:pict>
                <v:line id="直接连接符 2" o:spid="_x0000_s1026" o:spt="20" style="position:absolute;left:0pt;margin-left:-4.8pt;margin-top:0.1pt;height:47.7pt;width:124.7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">
                  <v:path arrowok="t"/>
                  <v:fill focussize="0,0"/>
                  <v:stroke weight="0.5pt"/>
                  <v:imagedata o:title=""/>
                  <o:lock v:ext="edit"/>
                </v:line>
              </w:pict>
            </w:r>
            <w:r>
              <w:rPr>
                <w:rFonts w:eastAsiaTheme="minorEastAsia"/>
                <w:color w:val="000000"/>
                <w:sz w:val="18"/>
                <w:szCs w:val="18"/>
              </w:rPr>
              <w:t>项目</w:t>
            </w:r>
          </w:p>
          <w:p>
            <w:pPr>
              <w:ind w:firstLine="360" w:firstLineChars="200"/>
              <w:rPr>
                <w:rFonts w:eastAsiaTheme="minorEastAsia"/>
                <w:color w:val="000000"/>
                <w:sz w:val="18"/>
                <w:szCs w:val="18"/>
              </w:rPr>
            </w:pPr>
            <w:r>
              <w:rPr>
                <w:rFonts w:eastAsiaTheme="minorEastAsia"/>
                <w:color w:val="000000"/>
                <w:sz w:val="18"/>
                <w:szCs w:val="18"/>
              </w:rPr>
              <w:pict>
                <v:line id="直接连接符 3" o:spid="_x0000_s1027" o:spt="20" style="position:absolute;left:0pt;margin-left:-4.45pt;margin-top:11.3pt;height:20.55pt;width:123.15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">
                  <v:path arrowok="t"/>
                  <v:fill focussize="0,0"/>
                  <v:stroke weight="0.5pt"/>
                  <v:imagedata o:title=""/>
                  <o:lock v:ext="edit"/>
                </v:line>
              </w:pict>
            </w:r>
            <w:r>
              <w:rPr>
                <w:rFonts w:eastAsiaTheme="minorEastAsia"/>
                <w:color w:val="000000"/>
                <w:sz w:val="18"/>
                <w:szCs w:val="18"/>
              </w:rPr>
              <w:t>周数</w:t>
            </w:r>
          </w:p>
          <w:p>
            <w:pPr>
              <w:ind w:firstLine="45" w:firstLineChars="25"/>
              <w:rPr>
                <w:rFonts w:eastAsiaTheme="minorEastAsia"/>
                <w:color w:val="000000"/>
                <w:sz w:val="18"/>
                <w:szCs w:val="18"/>
              </w:rPr>
            </w:pPr>
            <w:r>
              <w:rPr>
                <w:rFonts w:eastAsiaTheme="minorEastAsia"/>
                <w:color w:val="000000"/>
                <w:sz w:val="18"/>
                <w:szCs w:val="18"/>
              </w:rPr>
              <w:t>学期</w:t>
            </w:r>
          </w:p>
        </w:tc>
        <w:tc>
          <w:tcPr>
            <w:tcW w:w="2441" w:type="dxa"/>
            <w:gridSpan w:val="3"/>
            <w:shd w:val="clear" w:color="auto" w:fill="F1F1F1" w:themeFill="background1" w:themeFillShade="F2"/>
          </w:tcPr>
          <w:p>
            <w:pPr>
              <w:jc w:val="center"/>
              <w:rPr>
                <w:rFonts w:eastAsiaTheme="minorEastAsia"/>
                <w:color w:val="000000"/>
                <w:sz w:val="18"/>
                <w:szCs w:val="18"/>
              </w:rPr>
            </w:pPr>
            <w:r>
              <w:rPr>
                <w:rFonts w:eastAsiaTheme="minorEastAsia"/>
                <w:color w:val="000000"/>
                <w:sz w:val="18"/>
                <w:szCs w:val="18"/>
              </w:rPr>
              <w:t>授课环节</w:t>
            </w:r>
          </w:p>
        </w:tc>
        <w:tc>
          <w:tcPr>
            <w:tcW w:w="3167" w:type="dxa"/>
            <w:gridSpan w:val="3"/>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其他环节</w:t>
            </w:r>
          </w:p>
        </w:tc>
        <w:tc>
          <w:tcPr>
            <w:tcW w:w="975" w:type="dxa"/>
            <w:vMerge w:val="restart"/>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社会</w:t>
            </w:r>
          </w:p>
          <w:p>
            <w:pPr>
              <w:jc w:val="center"/>
              <w:rPr>
                <w:rFonts w:eastAsiaTheme="minorEastAsia"/>
                <w:color w:val="000000"/>
                <w:sz w:val="18"/>
                <w:szCs w:val="18"/>
              </w:rPr>
            </w:pPr>
            <w:r>
              <w:rPr>
                <w:rFonts w:eastAsiaTheme="minorEastAsia"/>
                <w:color w:val="000000"/>
                <w:sz w:val="18"/>
                <w:szCs w:val="18"/>
              </w:rPr>
              <w:t>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5" w:type="dxa"/>
            <w:vMerge w:val="continue"/>
          </w:tcPr>
          <w:p>
            <w:pPr>
              <w:ind w:firstLine="900" w:firstLineChars="500"/>
              <w:rPr>
                <w:rFonts w:eastAsiaTheme="minorEastAsia"/>
                <w:color w:val="000000"/>
                <w:sz w:val="18"/>
                <w:szCs w:val="18"/>
              </w:rPr>
            </w:pPr>
          </w:p>
        </w:tc>
        <w:tc>
          <w:tcPr>
            <w:tcW w:w="811"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总教学周数</w:t>
            </w:r>
          </w:p>
        </w:tc>
        <w:tc>
          <w:tcPr>
            <w:tcW w:w="811"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课内</w:t>
            </w:r>
          </w:p>
          <w:p>
            <w:pPr>
              <w:jc w:val="center"/>
              <w:rPr>
                <w:rFonts w:eastAsiaTheme="minorEastAsia"/>
                <w:color w:val="000000"/>
                <w:sz w:val="18"/>
                <w:szCs w:val="18"/>
              </w:rPr>
            </w:pPr>
            <w:r>
              <w:rPr>
                <w:rFonts w:eastAsiaTheme="minorEastAsia"/>
                <w:color w:val="000000"/>
                <w:sz w:val="18"/>
                <w:szCs w:val="18"/>
              </w:rPr>
              <w:t>教学</w:t>
            </w:r>
          </w:p>
        </w:tc>
        <w:tc>
          <w:tcPr>
            <w:tcW w:w="819"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集中时间教学</w:t>
            </w:r>
          </w:p>
        </w:tc>
        <w:tc>
          <w:tcPr>
            <w:tcW w:w="811"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复习</w:t>
            </w:r>
          </w:p>
          <w:p>
            <w:pPr>
              <w:jc w:val="center"/>
              <w:rPr>
                <w:rFonts w:eastAsiaTheme="minorEastAsia"/>
                <w:color w:val="000000"/>
                <w:sz w:val="18"/>
                <w:szCs w:val="18"/>
              </w:rPr>
            </w:pPr>
            <w:r>
              <w:rPr>
                <w:rFonts w:eastAsiaTheme="minorEastAsia"/>
                <w:color w:val="000000"/>
                <w:sz w:val="18"/>
                <w:szCs w:val="18"/>
              </w:rPr>
              <w:t>考试</w:t>
            </w:r>
          </w:p>
        </w:tc>
        <w:tc>
          <w:tcPr>
            <w:tcW w:w="1256"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入学毕</w:t>
            </w:r>
          </w:p>
          <w:p>
            <w:pPr>
              <w:jc w:val="center"/>
              <w:rPr>
                <w:rFonts w:eastAsiaTheme="minorEastAsia"/>
                <w:color w:val="000000"/>
                <w:sz w:val="18"/>
                <w:szCs w:val="18"/>
              </w:rPr>
            </w:pPr>
            <w:r>
              <w:rPr>
                <w:rFonts w:eastAsiaTheme="minorEastAsia"/>
                <w:color w:val="000000"/>
                <w:sz w:val="18"/>
                <w:szCs w:val="18"/>
              </w:rPr>
              <w:t>业教育</w:t>
            </w:r>
          </w:p>
        </w:tc>
        <w:tc>
          <w:tcPr>
            <w:tcW w:w="1100" w:type="dxa"/>
            <w:shd w:val="clear" w:color="auto" w:fill="F1F1F1" w:themeFill="background1" w:themeFillShade="F2"/>
            <w:vAlign w:val="center"/>
          </w:tcPr>
          <w:p>
            <w:pPr>
              <w:jc w:val="center"/>
              <w:rPr>
                <w:rFonts w:eastAsiaTheme="minorEastAsia"/>
                <w:color w:val="000000"/>
                <w:sz w:val="18"/>
                <w:szCs w:val="18"/>
              </w:rPr>
            </w:pPr>
            <w:r>
              <w:rPr>
                <w:rFonts w:eastAsiaTheme="minorEastAsia"/>
                <w:color w:val="000000"/>
                <w:sz w:val="18"/>
                <w:szCs w:val="18"/>
              </w:rPr>
              <w:t>军训/机动</w:t>
            </w:r>
          </w:p>
        </w:tc>
        <w:tc>
          <w:tcPr>
            <w:tcW w:w="975" w:type="dxa"/>
            <w:vMerge w:val="continue"/>
            <w:vAlign w:val="center"/>
          </w:tcPr>
          <w:p>
            <w:pPr>
              <w:jc w:val="center"/>
              <w:rPr>
                <w:rFonts w:eastAsiaTheme="minor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一</w:t>
            </w:r>
          </w:p>
        </w:tc>
        <w:tc>
          <w:tcPr>
            <w:tcW w:w="811" w:type="dxa"/>
          </w:tcPr>
          <w:p>
            <w:pPr>
              <w:jc w:val="center"/>
              <w:rPr>
                <w:rFonts w:eastAsiaTheme="minorEastAsia"/>
                <w:color w:val="000000"/>
                <w:sz w:val="18"/>
                <w:szCs w:val="18"/>
              </w:rPr>
            </w:pPr>
            <w:r>
              <w:rPr>
                <w:rFonts w:eastAsiaTheme="minorEastAsia"/>
                <w:color w:val="000000"/>
                <w:sz w:val="18"/>
                <w:szCs w:val="18"/>
              </w:rPr>
              <w:t>20</w:t>
            </w:r>
          </w:p>
        </w:tc>
        <w:tc>
          <w:tcPr>
            <w:tcW w:w="811" w:type="dxa"/>
          </w:tcPr>
          <w:p>
            <w:pPr>
              <w:jc w:val="center"/>
              <w:rPr>
                <w:sz w:val="18"/>
                <w:szCs w:val="18"/>
              </w:rPr>
            </w:pPr>
            <w:r>
              <w:rPr>
                <w:sz w:val="18"/>
                <w:szCs w:val="18"/>
              </w:rPr>
              <w:t>13</w:t>
            </w:r>
          </w:p>
        </w:tc>
        <w:tc>
          <w:tcPr>
            <w:tcW w:w="819" w:type="dxa"/>
          </w:tcPr>
          <w:p>
            <w:pPr>
              <w:jc w:val="center"/>
              <w:rPr>
                <w:sz w:val="18"/>
                <w:szCs w:val="18"/>
              </w:rPr>
            </w:pPr>
            <w:r>
              <w:rPr>
                <w:sz w:val="18"/>
                <w:szCs w:val="18"/>
              </w:rPr>
              <w:t>3</w:t>
            </w:r>
          </w:p>
        </w:tc>
        <w:tc>
          <w:tcPr>
            <w:tcW w:w="811" w:type="dxa"/>
          </w:tcPr>
          <w:p>
            <w:pPr>
              <w:jc w:val="center"/>
              <w:rPr>
                <w:sz w:val="18"/>
                <w:szCs w:val="18"/>
              </w:rPr>
            </w:pPr>
            <w:r>
              <w:rPr>
                <w:sz w:val="18"/>
                <w:szCs w:val="18"/>
              </w:rPr>
              <w:t>1</w:t>
            </w:r>
          </w:p>
        </w:tc>
        <w:tc>
          <w:tcPr>
            <w:tcW w:w="1256" w:type="dxa"/>
          </w:tcPr>
          <w:p>
            <w:pPr>
              <w:jc w:val="center"/>
              <w:rPr>
                <w:sz w:val="18"/>
                <w:szCs w:val="18"/>
              </w:rPr>
            </w:pPr>
            <w:r>
              <w:rPr>
                <w:sz w:val="18"/>
                <w:szCs w:val="18"/>
              </w:rPr>
              <w:t>1</w:t>
            </w:r>
          </w:p>
        </w:tc>
        <w:tc>
          <w:tcPr>
            <w:tcW w:w="1100" w:type="dxa"/>
          </w:tcPr>
          <w:p>
            <w:pPr>
              <w:jc w:val="center"/>
              <w:rPr>
                <w:sz w:val="18"/>
                <w:szCs w:val="18"/>
              </w:rPr>
            </w:pPr>
            <w:r>
              <w:rPr>
                <w:sz w:val="18"/>
                <w:szCs w:val="18"/>
              </w:rPr>
              <w:t>2</w:t>
            </w:r>
          </w:p>
        </w:tc>
        <w:tc>
          <w:tcPr>
            <w:tcW w:w="975" w:type="dxa"/>
          </w:tcPr>
          <w:p>
            <w:pPr>
              <w:jc w:val="center"/>
              <w:rPr>
                <w:sz w:val="18"/>
                <w:szCs w:val="18"/>
              </w:rPr>
            </w:pPr>
            <w:r>
              <w:rPr>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二</w:t>
            </w:r>
          </w:p>
        </w:tc>
        <w:tc>
          <w:tcPr>
            <w:tcW w:w="811" w:type="dxa"/>
          </w:tcPr>
          <w:p>
            <w:pPr>
              <w:jc w:val="center"/>
              <w:rPr>
                <w:rFonts w:eastAsiaTheme="minorEastAsia"/>
                <w:color w:val="000000"/>
                <w:sz w:val="18"/>
                <w:szCs w:val="18"/>
              </w:rPr>
            </w:pPr>
            <w:r>
              <w:rPr>
                <w:rFonts w:eastAsiaTheme="minorEastAsia"/>
                <w:color w:val="000000"/>
                <w:sz w:val="18"/>
                <w:szCs w:val="18"/>
              </w:rPr>
              <w:t>20</w:t>
            </w:r>
          </w:p>
        </w:tc>
        <w:tc>
          <w:tcPr>
            <w:tcW w:w="811" w:type="dxa"/>
          </w:tcPr>
          <w:p>
            <w:pPr>
              <w:jc w:val="center"/>
              <w:rPr>
                <w:sz w:val="18"/>
                <w:szCs w:val="18"/>
              </w:rPr>
            </w:pPr>
            <w:r>
              <w:rPr>
                <w:sz w:val="18"/>
                <w:szCs w:val="18"/>
              </w:rPr>
              <w:t>16</w:t>
            </w:r>
          </w:p>
        </w:tc>
        <w:tc>
          <w:tcPr>
            <w:tcW w:w="819" w:type="dxa"/>
          </w:tcPr>
          <w:p>
            <w:pPr>
              <w:jc w:val="center"/>
              <w:rPr>
                <w:sz w:val="18"/>
                <w:szCs w:val="18"/>
              </w:rPr>
            </w:pPr>
            <w:r>
              <w:rPr>
                <w:sz w:val="18"/>
                <w:szCs w:val="18"/>
              </w:rPr>
              <w:t>2</w:t>
            </w:r>
          </w:p>
        </w:tc>
        <w:tc>
          <w:tcPr>
            <w:tcW w:w="811" w:type="dxa"/>
          </w:tcPr>
          <w:p>
            <w:pPr>
              <w:jc w:val="center"/>
              <w:rPr>
                <w:sz w:val="18"/>
                <w:szCs w:val="18"/>
              </w:rPr>
            </w:pPr>
            <w:r>
              <w:rPr>
                <w:sz w:val="18"/>
                <w:szCs w:val="18"/>
              </w:rPr>
              <w:t>1</w:t>
            </w:r>
          </w:p>
        </w:tc>
        <w:tc>
          <w:tcPr>
            <w:tcW w:w="1256" w:type="dxa"/>
          </w:tcPr>
          <w:p>
            <w:pPr>
              <w:jc w:val="center"/>
              <w:rPr>
                <w:sz w:val="18"/>
                <w:szCs w:val="18"/>
              </w:rPr>
            </w:pPr>
            <w:r>
              <w:rPr>
                <w:sz w:val="18"/>
                <w:szCs w:val="18"/>
              </w:rPr>
              <w:t>0</w:t>
            </w:r>
          </w:p>
        </w:tc>
        <w:tc>
          <w:tcPr>
            <w:tcW w:w="1100" w:type="dxa"/>
          </w:tcPr>
          <w:p>
            <w:pPr>
              <w:jc w:val="center"/>
              <w:rPr>
                <w:sz w:val="18"/>
                <w:szCs w:val="18"/>
              </w:rPr>
            </w:pPr>
            <w:r>
              <w:rPr>
                <w:sz w:val="18"/>
                <w:szCs w:val="18"/>
              </w:rPr>
              <w:t>1</w:t>
            </w:r>
          </w:p>
        </w:tc>
        <w:tc>
          <w:tcPr>
            <w:tcW w:w="975" w:type="dxa"/>
          </w:tcPr>
          <w:p>
            <w:pPr>
              <w:jc w:val="center"/>
              <w:rPr>
                <w:sz w:val="18"/>
                <w:szCs w:val="18"/>
              </w:rPr>
            </w:pPr>
            <w:r>
              <w:rPr>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三</w:t>
            </w:r>
          </w:p>
        </w:tc>
        <w:tc>
          <w:tcPr>
            <w:tcW w:w="811" w:type="dxa"/>
          </w:tcPr>
          <w:p>
            <w:pPr>
              <w:jc w:val="center"/>
              <w:rPr>
                <w:rFonts w:hint="eastAsia" w:eastAsiaTheme="minorEastAsia"/>
                <w:color w:val="000000"/>
                <w:sz w:val="18"/>
                <w:szCs w:val="18"/>
                <w:lang w:val="en-US" w:eastAsia="zh-CN"/>
              </w:rPr>
            </w:pPr>
            <w:r>
              <w:rPr>
                <w:rFonts w:hint="eastAsia" w:eastAsiaTheme="minorEastAsia"/>
                <w:color w:val="000000"/>
                <w:sz w:val="18"/>
                <w:szCs w:val="18"/>
              </w:rPr>
              <w:t>2</w:t>
            </w:r>
            <w:r>
              <w:rPr>
                <w:rFonts w:hint="eastAsia" w:eastAsiaTheme="minorEastAsia"/>
                <w:color w:val="000000"/>
                <w:sz w:val="18"/>
                <w:szCs w:val="18"/>
                <w:lang w:val="en-US" w:eastAsia="zh-CN"/>
              </w:rPr>
              <w:t>0</w:t>
            </w:r>
          </w:p>
        </w:tc>
        <w:tc>
          <w:tcPr>
            <w:tcW w:w="811" w:type="dxa"/>
          </w:tcPr>
          <w:p>
            <w:pPr>
              <w:jc w:val="center"/>
              <w:rPr>
                <w:rFonts w:hint="default"/>
                <w:sz w:val="18"/>
                <w:szCs w:val="18"/>
                <w:lang w:val="en-US"/>
              </w:rPr>
            </w:pPr>
            <w:r>
              <w:rPr>
                <w:rFonts w:hint="eastAsia"/>
                <w:sz w:val="18"/>
                <w:szCs w:val="18"/>
                <w:lang w:val="en-US" w:eastAsia="zh-CN"/>
              </w:rPr>
              <w:t>18</w:t>
            </w:r>
          </w:p>
        </w:tc>
        <w:tc>
          <w:tcPr>
            <w:tcW w:w="819" w:type="dxa"/>
          </w:tcPr>
          <w:p>
            <w:pPr>
              <w:jc w:val="center"/>
              <w:rPr>
                <w:rFonts w:hint="default" w:eastAsia="宋体"/>
                <w:sz w:val="18"/>
                <w:szCs w:val="18"/>
                <w:lang w:val="en-US" w:eastAsia="zh-CN"/>
              </w:rPr>
            </w:pPr>
            <w:r>
              <w:rPr>
                <w:rFonts w:hint="eastAsia"/>
                <w:sz w:val="18"/>
                <w:szCs w:val="18"/>
                <w:lang w:val="en-US" w:eastAsia="zh-CN"/>
              </w:rPr>
              <w:t>0</w:t>
            </w:r>
          </w:p>
        </w:tc>
        <w:tc>
          <w:tcPr>
            <w:tcW w:w="811" w:type="dxa"/>
          </w:tcPr>
          <w:p>
            <w:pPr>
              <w:jc w:val="center"/>
              <w:rPr>
                <w:sz w:val="18"/>
                <w:szCs w:val="18"/>
              </w:rPr>
            </w:pPr>
            <w:r>
              <w:rPr>
                <w:sz w:val="18"/>
                <w:szCs w:val="18"/>
              </w:rPr>
              <w:t>1</w:t>
            </w:r>
          </w:p>
        </w:tc>
        <w:tc>
          <w:tcPr>
            <w:tcW w:w="1256" w:type="dxa"/>
          </w:tcPr>
          <w:p>
            <w:pPr>
              <w:jc w:val="center"/>
              <w:rPr>
                <w:sz w:val="18"/>
                <w:szCs w:val="18"/>
              </w:rPr>
            </w:pPr>
            <w:r>
              <w:rPr>
                <w:sz w:val="18"/>
                <w:szCs w:val="18"/>
              </w:rPr>
              <w:t>0</w:t>
            </w:r>
          </w:p>
        </w:tc>
        <w:tc>
          <w:tcPr>
            <w:tcW w:w="1100" w:type="dxa"/>
          </w:tcPr>
          <w:p>
            <w:pPr>
              <w:jc w:val="center"/>
              <w:rPr>
                <w:sz w:val="18"/>
                <w:szCs w:val="18"/>
              </w:rPr>
            </w:pPr>
            <w:r>
              <w:rPr>
                <w:sz w:val="18"/>
                <w:szCs w:val="18"/>
              </w:rPr>
              <w:t>0</w:t>
            </w:r>
          </w:p>
        </w:tc>
        <w:tc>
          <w:tcPr>
            <w:tcW w:w="975" w:type="dxa"/>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四</w:t>
            </w:r>
          </w:p>
        </w:tc>
        <w:tc>
          <w:tcPr>
            <w:tcW w:w="811" w:type="dxa"/>
          </w:tcPr>
          <w:p>
            <w:pPr>
              <w:jc w:val="center"/>
              <w:rPr>
                <w:rFonts w:eastAsiaTheme="minorEastAsia"/>
                <w:color w:val="000000"/>
                <w:sz w:val="18"/>
                <w:szCs w:val="18"/>
              </w:rPr>
            </w:pPr>
            <w:r>
              <w:rPr>
                <w:rFonts w:hint="eastAsia" w:eastAsiaTheme="minorEastAsia"/>
                <w:color w:val="000000"/>
                <w:sz w:val="18"/>
                <w:szCs w:val="18"/>
              </w:rPr>
              <w:t>19</w:t>
            </w:r>
          </w:p>
        </w:tc>
        <w:tc>
          <w:tcPr>
            <w:tcW w:w="811" w:type="dxa"/>
          </w:tcPr>
          <w:p>
            <w:pPr>
              <w:jc w:val="center"/>
              <w:rPr>
                <w:sz w:val="18"/>
                <w:szCs w:val="18"/>
              </w:rPr>
            </w:pPr>
            <w:r>
              <w:rPr>
                <w:sz w:val="18"/>
                <w:szCs w:val="18"/>
              </w:rPr>
              <w:t>0</w:t>
            </w:r>
          </w:p>
        </w:tc>
        <w:tc>
          <w:tcPr>
            <w:tcW w:w="819" w:type="dxa"/>
          </w:tcPr>
          <w:p>
            <w:pPr>
              <w:jc w:val="center"/>
              <w:rPr>
                <w:sz w:val="18"/>
                <w:szCs w:val="18"/>
              </w:rPr>
            </w:pPr>
            <w:r>
              <w:rPr>
                <w:sz w:val="18"/>
                <w:szCs w:val="18"/>
              </w:rPr>
              <w:t>18</w:t>
            </w:r>
          </w:p>
        </w:tc>
        <w:tc>
          <w:tcPr>
            <w:tcW w:w="811" w:type="dxa"/>
          </w:tcPr>
          <w:p>
            <w:pPr>
              <w:jc w:val="center"/>
              <w:rPr>
                <w:sz w:val="18"/>
                <w:szCs w:val="18"/>
              </w:rPr>
            </w:pPr>
            <w:r>
              <w:rPr>
                <w:sz w:val="18"/>
                <w:szCs w:val="18"/>
              </w:rPr>
              <w:t>0</w:t>
            </w:r>
          </w:p>
        </w:tc>
        <w:tc>
          <w:tcPr>
            <w:tcW w:w="1256" w:type="dxa"/>
          </w:tcPr>
          <w:p>
            <w:pPr>
              <w:jc w:val="center"/>
              <w:rPr>
                <w:sz w:val="18"/>
                <w:szCs w:val="18"/>
              </w:rPr>
            </w:pPr>
            <w:r>
              <w:rPr>
                <w:sz w:val="18"/>
                <w:szCs w:val="18"/>
              </w:rPr>
              <w:t>1</w:t>
            </w:r>
          </w:p>
        </w:tc>
        <w:tc>
          <w:tcPr>
            <w:tcW w:w="1100" w:type="dxa"/>
          </w:tcPr>
          <w:p>
            <w:pPr>
              <w:jc w:val="center"/>
              <w:rPr>
                <w:sz w:val="18"/>
                <w:szCs w:val="18"/>
              </w:rPr>
            </w:pPr>
            <w:r>
              <w:rPr>
                <w:sz w:val="18"/>
                <w:szCs w:val="18"/>
              </w:rPr>
              <w:t>0</w:t>
            </w:r>
          </w:p>
        </w:tc>
        <w:tc>
          <w:tcPr>
            <w:tcW w:w="975" w:type="dxa"/>
          </w:tcPr>
          <w:p>
            <w:pPr>
              <w:jc w:val="center"/>
              <w:rPr>
                <w:sz w:val="18"/>
                <w:szCs w:val="18"/>
              </w:rPr>
            </w:pPr>
            <w:r>
              <w:rPr>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495" w:type="dxa"/>
          </w:tcPr>
          <w:p>
            <w:pPr>
              <w:jc w:val="center"/>
              <w:rPr>
                <w:rFonts w:eastAsiaTheme="minorEastAsia"/>
                <w:color w:val="000000"/>
                <w:sz w:val="18"/>
                <w:szCs w:val="18"/>
              </w:rPr>
            </w:pPr>
            <w:r>
              <w:rPr>
                <w:rFonts w:eastAsiaTheme="minorEastAsia"/>
                <w:color w:val="000000"/>
                <w:sz w:val="18"/>
                <w:szCs w:val="18"/>
              </w:rPr>
              <w:t>总计</w:t>
            </w:r>
          </w:p>
        </w:tc>
        <w:tc>
          <w:tcPr>
            <w:tcW w:w="811" w:type="dxa"/>
          </w:tcPr>
          <w:p>
            <w:pPr>
              <w:jc w:val="center"/>
              <w:rPr>
                <w:rFonts w:hint="default" w:eastAsiaTheme="minorEastAsia"/>
                <w:b/>
                <w:color w:val="000000"/>
                <w:sz w:val="18"/>
                <w:szCs w:val="18"/>
                <w:lang w:val="en-US" w:eastAsia="zh-CN"/>
              </w:rPr>
            </w:pPr>
            <w:r>
              <w:rPr>
                <w:rFonts w:hint="eastAsia" w:eastAsiaTheme="minorEastAsia"/>
                <w:b/>
                <w:color w:val="000000"/>
                <w:sz w:val="18"/>
                <w:szCs w:val="18"/>
                <w:lang w:val="en-US" w:eastAsia="zh-CN"/>
              </w:rPr>
              <w:t>79</w:t>
            </w:r>
          </w:p>
        </w:tc>
        <w:tc>
          <w:tcPr>
            <w:tcW w:w="811" w:type="dxa"/>
          </w:tcPr>
          <w:p>
            <w:pPr>
              <w:jc w:val="center"/>
              <w:rPr>
                <w:rFonts w:hint="default"/>
                <w:b/>
                <w:sz w:val="18"/>
                <w:szCs w:val="18"/>
                <w:lang w:val="en-US"/>
              </w:rPr>
            </w:pPr>
            <w:r>
              <w:rPr>
                <w:rFonts w:hint="eastAsia"/>
                <w:b/>
                <w:sz w:val="18"/>
                <w:szCs w:val="18"/>
                <w:lang w:val="en-US" w:eastAsia="zh-CN"/>
              </w:rPr>
              <w:t>47</w:t>
            </w:r>
          </w:p>
        </w:tc>
        <w:tc>
          <w:tcPr>
            <w:tcW w:w="819" w:type="dxa"/>
          </w:tcPr>
          <w:p>
            <w:pPr>
              <w:jc w:val="center"/>
              <w:rPr>
                <w:b/>
                <w:sz w:val="18"/>
                <w:szCs w:val="18"/>
              </w:rPr>
            </w:pPr>
            <w:r>
              <w:rPr>
                <w:rFonts w:hint="eastAsia"/>
                <w:b/>
                <w:sz w:val="18"/>
                <w:szCs w:val="18"/>
                <w:lang w:val="en-US" w:eastAsia="zh-CN"/>
              </w:rPr>
              <w:t>23</w:t>
            </w:r>
          </w:p>
        </w:tc>
        <w:tc>
          <w:tcPr>
            <w:tcW w:w="811" w:type="dxa"/>
          </w:tcPr>
          <w:p>
            <w:pPr>
              <w:jc w:val="center"/>
              <w:rPr>
                <w:b/>
                <w:sz w:val="18"/>
                <w:szCs w:val="18"/>
              </w:rPr>
            </w:pPr>
            <w:r>
              <w:rPr>
                <w:b/>
                <w:sz w:val="18"/>
                <w:szCs w:val="18"/>
              </w:rPr>
              <w:t>3</w:t>
            </w:r>
          </w:p>
        </w:tc>
        <w:tc>
          <w:tcPr>
            <w:tcW w:w="1256" w:type="dxa"/>
          </w:tcPr>
          <w:p>
            <w:pPr>
              <w:jc w:val="center"/>
              <w:rPr>
                <w:b/>
                <w:sz w:val="18"/>
                <w:szCs w:val="18"/>
              </w:rPr>
            </w:pPr>
            <w:r>
              <w:rPr>
                <w:b/>
                <w:sz w:val="18"/>
                <w:szCs w:val="18"/>
              </w:rPr>
              <w:t>2</w:t>
            </w:r>
          </w:p>
        </w:tc>
        <w:tc>
          <w:tcPr>
            <w:tcW w:w="1100" w:type="dxa"/>
          </w:tcPr>
          <w:p>
            <w:pPr>
              <w:jc w:val="center"/>
              <w:rPr>
                <w:b/>
                <w:sz w:val="18"/>
                <w:szCs w:val="18"/>
              </w:rPr>
            </w:pPr>
            <w:r>
              <w:rPr>
                <w:b/>
                <w:sz w:val="18"/>
                <w:szCs w:val="18"/>
              </w:rPr>
              <w:t>3</w:t>
            </w:r>
          </w:p>
        </w:tc>
        <w:tc>
          <w:tcPr>
            <w:tcW w:w="975" w:type="dxa"/>
          </w:tcPr>
          <w:p>
            <w:pPr>
              <w:jc w:val="center"/>
              <w:rPr>
                <w:b/>
                <w:sz w:val="18"/>
                <w:szCs w:val="18"/>
              </w:rPr>
            </w:pPr>
            <w:r>
              <w:rPr>
                <w:rFonts w:hint="eastAsia"/>
                <w:b/>
                <w:sz w:val="18"/>
                <w:szCs w:val="18"/>
              </w:rPr>
              <w:t>1</w:t>
            </w:r>
          </w:p>
        </w:tc>
      </w:tr>
    </w:tbl>
    <w:p>
      <w:pPr>
        <w:spacing w:line="400" w:lineRule="exact"/>
        <w:ind w:firstLine="422" w:firstLineChars="200"/>
        <w:jc w:val="left"/>
        <w:rPr>
          <w:b/>
          <w:bCs/>
          <w:color w:val="000000"/>
          <w:kern w:val="0"/>
          <w:szCs w:val="21"/>
        </w:rPr>
      </w:pPr>
      <w:r>
        <w:rPr>
          <w:b/>
          <w:bCs/>
          <w:color w:val="000000"/>
          <w:kern w:val="0"/>
          <w:szCs w:val="21"/>
        </w:rPr>
        <w:t>（二）课程设置及学时安排</w:t>
      </w:r>
    </w:p>
    <w:p>
      <w:pPr>
        <w:spacing w:line="400" w:lineRule="exact"/>
        <w:ind w:firstLine="420" w:firstLineChars="200"/>
        <w:jc w:val="left"/>
        <w:rPr>
          <w:kern w:val="0"/>
          <w:szCs w:val="21"/>
        </w:rPr>
      </w:pPr>
      <w:r>
        <w:rPr>
          <w:kern w:val="0"/>
          <w:szCs w:val="21"/>
        </w:rPr>
        <w:t>见</w:t>
      </w:r>
      <w:r>
        <w:rPr>
          <w:rFonts w:hint="eastAsia"/>
          <w:kern w:val="0"/>
          <w:szCs w:val="21"/>
          <w:lang w:eastAsia="zh-CN"/>
        </w:rPr>
        <w:t>附件</w:t>
      </w:r>
      <w:r>
        <w:rPr>
          <w:kern w:val="0"/>
          <w:szCs w:val="21"/>
        </w:rPr>
        <w:t>：202</w:t>
      </w:r>
      <w:r>
        <w:rPr>
          <w:rFonts w:hint="eastAsia"/>
          <w:kern w:val="0"/>
          <w:szCs w:val="21"/>
          <w:lang w:val="en-US" w:eastAsia="zh-CN"/>
        </w:rPr>
        <w:t>4</w:t>
      </w:r>
      <w:r>
        <w:rPr>
          <w:kern w:val="0"/>
          <w:szCs w:val="21"/>
        </w:rPr>
        <w:t>级</w:t>
      </w:r>
      <w:r>
        <w:rPr>
          <w:rFonts w:hint="eastAsia"/>
          <w:kern w:val="0"/>
          <w:szCs w:val="21"/>
        </w:rPr>
        <w:t>现代物流管理（3</w:t>
      </w:r>
      <w:r>
        <w:rPr>
          <w:kern w:val="0"/>
          <w:szCs w:val="21"/>
        </w:rPr>
        <w:t>+2</w:t>
      </w:r>
      <w:r>
        <w:rPr>
          <w:rFonts w:hint="eastAsia"/>
          <w:kern w:val="0"/>
          <w:szCs w:val="21"/>
        </w:rPr>
        <w:t>）</w:t>
      </w:r>
      <w:r>
        <w:rPr>
          <w:kern w:val="0"/>
          <w:szCs w:val="21"/>
        </w:rPr>
        <w:t>专业</w:t>
      </w:r>
      <w:r>
        <w:rPr>
          <w:rFonts w:hint="eastAsia"/>
          <w:kern w:val="0"/>
          <w:szCs w:val="21"/>
        </w:rPr>
        <w:t>现代学徒制</w:t>
      </w:r>
      <w:r>
        <w:rPr>
          <w:kern w:val="0"/>
          <w:szCs w:val="21"/>
        </w:rPr>
        <w:t>课程设置及学时安排表</w:t>
      </w:r>
      <w:r>
        <w:rPr>
          <w:rFonts w:hint="eastAsia"/>
          <w:kern w:val="0"/>
          <w:szCs w:val="21"/>
        </w:rPr>
        <w:t>。</w:t>
      </w:r>
    </w:p>
    <w:p>
      <w:pPr>
        <w:spacing w:line="400" w:lineRule="exact"/>
        <w:ind w:firstLine="480" w:firstLineChars="200"/>
        <w:jc w:val="left"/>
        <w:outlineLvl w:val="1"/>
        <w:rPr>
          <w:rFonts w:hint="eastAsia" w:ascii="黑体" w:hAnsi="黑体" w:eastAsia="黑体" w:cs="黑体"/>
          <w:b w:val="0"/>
          <w:bCs w:val="0"/>
          <w:kern w:val="0"/>
          <w:sz w:val="24"/>
          <w:szCs w:val="24"/>
          <w:lang w:val="en-US" w:eastAsia="zh-CN"/>
        </w:rPr>
      </w:pPr>
      <w:r>
        <w:rPr>
          <w:rFonts w:hint="eastAsia" w:ascii="黑体" w:hAnsi="黑体" w:eastAsia="黑体" w:cs="黑体"/>
          <w:b w:val="0"/>
          <w:bCs w:val="0"/>
          <w:kern w:val="0"/>
          <w:sz w:val="24"/>
          <w:szCs w:val="24"/>
        </w:rPr>
        <w:t>八、师资队伍</w:t>
      </w:r>
      <w:r>
        <w:rPr>
          <w:rFonts w:hint="eastAsia" w:ascii="黑体" w:hAnsi="黑体" w:eastAsia="黑体" w:cs="黑体"/>
          <w:b w:val="0"/>
          <w:bCs w:val="0"/>
          <w:kern w:val="0"/>
          <w:sz w:val="24"/>
          <w:szCs w:val="24"/>
          <w:lang w:val="en-US" w:eastAsia="zh-CN"/>
        </w:rPr>
        <w:tab/>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根据教育部2019年颁布的《高等职业学校现代物流管理专业教学标准》中要求，学生数与本专业专任教师比例不高于25:1，双师素质教师占专业教师比一般不低于60%。根据现代物流管理专业目前在校生人数和2021级新生招生计划，以350人专业学生规模来计算，专任教师数至少应为14人。兼职教师人数不少于专任教师人数的50%。</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专任教师应有高校教师资格证，具有物流类本科或以上学历，其它相关专业需硕士或以上学历；具有扎实的现代物流管理理论功底和实践能力；具有较强的信息化教学能力，能够开展理论教学改革和科学研究；能独立完成一门课程的授课任务；具有整体课程设计能力和多种教学方法的能力。</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兼职教师应具备良好的思想政治素质、职业道德和工匠精神，具有扎实的现代物流管理知识和丰富的实际工作经验，具有中级及以上相关专业技术资格；能承担专业课程教学、实习实训指导和学生职业发展规划指导等专业教学任务。</w:t>
      </w:r>
    </w:p>
    <w:p>
      <w:pPr>
        <w:spacing w:line="400" w:lineRule="exact"/>
        <w:ind w:firstLine="420" w:firstLineChars="200"/>
        <w:jc w:val="left"/>
        <w:rPr>
          <w:rFonts w:eastAsia="黑体"/>
          <w:color w:val="000000"/>
          <w:kern w:val="0"/>
          <w:szCs w:val="21"/>
        </w:rPr>
      </w:pPr>
      <w:r>
        <w:rPr>
          <w:rFonts w:hint="eastAsia" w:ascii="宋体" w:hAnsi="宋体" w:cs="仿宋"/>
          <w:color w:val="000000"/>
          <w:kern w:val="0"/>
          <w:szCs w:val="21"/>
        </w:rPr>
        <w:t>现代物流管理专业现有全职专任教师11名，高级职称4名，博士3人，双师素质达到100%；校内兼课教师4名，企业兼职教师16名。</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九、教学条件</w:t>
      </w:r>
    </w:p>
    <w:p>
      <w:pPr>
        <w:spacing w:line="400" w:lineRule="exact"/>
        <w:ind w:firstLine="422" w:firstLineChars="200"/>
        <w:jc w:val="left"/>
        <w:rPr>
          <w:b/>
          <w:bCs/>
          <w:color w:val="000000"/>
          <w:kern w:val="0"/>
          <w:szCs w:val="21"/>
        </w:rPr>
      </w:pPr>
      <w:r>
        <w:rPr>
          <w:b/>
          <w:bCs/>
          <w:color w:val="000000"/>
          <w:kern w:val="0"/>
          <w:szCs w:val="21"/>
        </w:rPr>
        <w:t>（一）教学设施配置标准</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1.校内实训基地</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本专业拥有近3000平方米的校内现代物流实训基地，基地内有立体库存储区、阁楼货架分拣区，重型货架分拣区以及物流文化实验室、物流信息处理实验室、精益生产物流实训室等，完全能满足专业实训教学要求。</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2.校外实训基地</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本专业校外建有广州飞梭云供应链管理公司湖州分公司实训基地、唯品会华东运营总部实训基地、湖州祥瑞物流中心实训基地、湖州邮政实训基地等7个校外实训基地，完全能满足学生专业实习实训教学要求。</w:t>
      </w:r>
    </w:p>
    <w:p>
      <w:pPr>
        <w:spacing w:line="400" w:lineRule="exact"/>
        <w:ind w:firstLine="422" w:firstLineChars="200"/>
        <w:jc w:val="left"/>
        <w:rPr>
          <w:b/>
          <w:bCs/>
          <w:color w:val="000000"/>
          <w:kern w:val="0"/>
          <w:szCs w:val="21"/>
        </w:rPr>
      </w:pPr>
      <w:r>
        <w:rPr>
          <w:b/>
          <w:bCs/>
          <w:color w:val="000000"/>
          <w:kern w:val="0"/>
          <w:szCs w:val="21"/>
        </w:rPr>
        <w:t>（二）教学资源配置标准</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1.教材选用</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本专业教材选用严格按照《湖州职业技术学院教材建设、选用与管理办法》文件规定执行，思政课全部采用国家“马”工程教材和国家规划教材。公共基础课和专业核心课程从国家和省级教育行政部门发布的规划教材目录中选用，其他课程优先选用国家规划教材或省重点教材。</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2.图书文献资源</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学校图书馆除有大量藏书和文献资料，还配备有中国知网、超星移动图书馆、新东方多媒体学习库、博学易知数据库、京东读书电子书阅览室等服务平台，能满足学生全面培养、教科研工作、专业建设等的需要，方便师生借阅、查询。</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3.数字资源</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学校现有410余门网络课程供教师和学生使用（其中自建在线开放课程学习平台拥有课程100余门，在第三方在线平台建有110余门网络课程，购买第三方网络课程200余门）。</w:t>
      </w:r>
    </w:p>
    <w:p>
      <w:pPr>
        <w:spacing w:line="400" w:lineRule="exact"/>
        <w:ind w:firstLine="422" w:firstLineChars="200"/>
        <w:jc w:val="left"/>
        <w:rPr>
          <w:b/>
          <w:bCs/>
          <w:color w:val="000000"/>
          <w:kern w:val="0"/>
          <w:szCs w:val="21"/>
        </w:rPr>
      </w:pPr>
      <w:r>
        <w:rPr>
          <w:b/>
          <w:bCs/>
          <w:color w:val="000000"/>
          <w:kern w:val="0"/>
          <w:szCs w:val="21"/>
        </w:rPr>
        <w:t>（三）教学方法、手段与教学组织形式</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依据专业培养目标、课程教学要求，结合课程教学目标和课程特点以及有关学情和教学资源，选择适合的最优化教学法。综合考虑教学效果和教学可操作性等因素，多数课程内容采用讲授法、混合教学法、分组讨论法、案例教学法、任务教学法、现场教学法等多种形式。坚持学中做、做中学，倡导因材施教、因需施教，鼓励创新教学方法和策略。根据内容特点和学生特点，以学生为主体，合理选择各种教学方法，教师起引导作用。在教学组织上充分利用校内理实一体化教室、多媒体网络教学条件和校内外实训基地的资源，采用问题教学、案例教学、任务驱动教学、情境教学、单项操作训练和综合能力考核等方法提高学生的职业能力。学校鼓励信息技术在教育教学中的应用，通过改进教学方式，达成预期教学目标。</w:t>
      </w:r>
    </w:p>
    <w:p>
      <w:pPr>
        <w:spacing w:line="400" w:lineRule="exact"/>
        <w:ind w:firstLine="422" w:firstLineChars="200"/>
        <w:jc w:val="left"/>
        <w:rPr>
          <w:rFonts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（四）学习评价</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学校改革和完善教学评价标准和方法，强调教学过程的质量监控。对教师评价，采取课前注意教学资料检查评价；课中注重教师、督导随堂听课评价；课后注重学生评教评价，确保教学质量。</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对学生评价，兼顾认知、技能、情感等方面，采取观察、口试、笔试、技能操作、职业技能竞赛、职业资格考试及鉴定等评价方式，建立多元化考核、评价方式。考核采用平时考核加期末考试相结合的方式，平时成绩和期末考查成绩均以百分制计算。</w:t>
      </w:r>
    </w:p>
    <w:p>
      <w:pPr>
        <w:spacing w:line="400" w:lineRule="exact"/>
        <w:ind w:firstLine="422" w:firstLineChars="200"/>
        <w:jc w:val="left"/>
        <w:rPr>
          <w:rFonts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（五）教学管理与质量保障体系</w:t>
      </w:r>
    </w:p>
    <w:p>
      <w:pPr>
        <w:pStyle w:val="2"/>
        <w:spacing w:line="400" w:lineRule="exact"/>
        <w:ind w:firstLine="420" w:firstLineChars="200"/>
        <w:rPr>
          <w:szCs w:val="21"/>
        </w:rPr>
      </w:pPr>
      <w:r>
        <w:rPr>
          <w:szCs w:val="21"/>
        </w:rPr>
        <w:t>1.</w:t>
      </w:r>
      <w:r>
        <w:rPr>
          <w:rFonts w:hint="eastAsia"/>
          <w:szCs w:val="21"/>
        </w:rPr>
        <w:t>成立了教育教学管理与质量监控体系</w:t>
      </w:r>
    </w:p>
    <w:p>
      <w:pPr>
        <w:pStyle w:val="2"/>
        <w:spacing w:line="400" w:lineRule="exact"/>
        <w:ind w:firstLine="420" w:firstLineChars="200"/>
        <w:rPr>
          <w:szCs w:val="21"/>
        </w:rPr>
      </w:pPr>
      <w:r>
        <w:rPr>
          <w:rFonts w:hint="eastAsia"/>
          <w:szCs w:val="21"/>
        </w:rPr>
        <w:t>成立了由</w:t>
      </w:r>
      <w:r>
        <w:rPr>
          <w:rFonts w:hint="eastAsia"/>
          <w:szCs w:val="21"/>
          <w:lang w:eastAsia="zh-CN"/>
        </w:rPr>
        <w:t>经济管理与电商</w:t>
      </w:r>
      <w:r>
        <w:rPr>
          <w:rFonts w:hint="eastAsia"/>
          <w:szCs w:val="21"/>
        </w:rPr>
        <w:t>学院分管教学院长为组长的教学质量监控小组，在学校教学质量监控体系的框架下，建立符合现代物流管理专业实际的教学质量监控办法，对专业建设和教学工作实施全过程质量监控，确保人才培养质量的稳步提高。</w:t>
      </w:r>
    </w:p>
    <w:p>
      <w:pPr>
        <w:pStyle w:val="2"/>
        <w:spacing w:line="400" w:lineRule="exact"/>
        <w:ind w:firstLine="420" w:firstLineChars="200"/>
        <w:rPr>
          <w:szCs w:val="21"/>
        </w:rPr>
      </w:pPr>
      <w:r>
        <w:rPr>
          <w:rFonts w:hint="eastAsia"/>
          <w:szCs w:val="21"/>
        </w:rPr>
        <w:t>2.加强质量管理制度建设</w:t>
      </w:r>
    </w:p>
    <w:p>
      <w:pPr>
        <w:pStyle w:val="2"/>
        <w:spacing w:line="400" w:lineRule="exact"/>
        <w:ind w:firstLine="420" w:firstLineChars="200"/>
        <w:rPr>
          <w:szCs w:val="21"/>
        </w:rPr>
      </w:pPr>
      <w:r>
        <w:rPr>
          <w:rFonts w:hint="eastAsia"/>
          <w:szCs w:val="21"/>
        </w:rPr>
        <w:t>根据学校确定的教学标准，从教学内容选择、课程教学方案设定、教辅资料编写，到实验实训、成绩考核等各个教学环节，严格把握质量标准和工作规范，通过质量监测和评价的循环，确保教学质量稳步提升。</w:t>
      </w:r>
    </w:p>
    <w:p>
      <w:pPr>
        <w:spacing w:line="400" w:lineRule="exact"/>
        <w:ind w:firstLine="420" w:firstLineChars="200"/>
        <w:rPr>
          <w:rFonts w:ascii="宋体" w:hAnsi="宋体" w:cs="仿宋"/>
          <w:color w:val="000000"/>
          <w:kern w:val="0"/>
          <w:szCs w:val="21"/>
        </w:rPr>
      </w:pPr>
      <w:r>
        <w:rPr>
          <w:rFonts w:hint="eastAsia" w:ascii="宋体" w:hAnsi="宋体" w:cs="仿宋"/>
          <w:color w:val="000000"/>
          <w:kern w:val="0"/>
          <w:szCs w:val="21"/>
        </w:rPr>
        <w:t>3.实践教学基地的质量检测</w:t>
      </w:r>
    </w:p>
    <w:p>
      <w:pPr>
        <w:spacing w:line="400" w:lineRule="exact"/>
        <w:ind w:firstLine="420" w:firstLineChars="200"/>
        <w:jc w:val="left"/>
        <w:rPr>
          <w:rFonts w:ascii="宋体" w:hAnsi="宋体" w:cs="仿宋"/>
          <w:color w:val="000000"/>
          <w:kern w:val="0"/>
          <w:szCs w:val="21"/>
        </w:rPr>
      </w:pPr>
      <w:r>
        <w:rPr>
          <w:rFonts w:hint="eastAsia" w:ascii="宋体" w:hAnsi="宋体" w:cs="仿宋"/>
          <w:color w:val="000000"/>
          <w:kern w:val="0"/>
          <w:szCs w:val="21"/>
        </w:rPr>
        <w:t>为保证实践教学基地的正常运行和规范提高，进一步完善实践教学基地评价系统，建立定期对实践教学基地运行评价的制度，建立实践教学基地正常进入、退出机制，保证实践教学基地能满足认知见习、课程实训、综合实训、毕业实习人才培养的需求，确保实践教学质量稳步提高。</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十、毕业要求</w:t>
      </w:r>
    </w:p>
    <w:p>
      <w:pPr>
        <w:spacing w:line="400" w:lineRule="exact"/>
        <w:ind w:firstLine="420" w:firstLineChars="200"/>
        <w:jc w:val="left"/>
        <w:rPr>
          <w:kern w:val="0"/>
          <w:szCs w:val="21"/>
        </w:rPr>
      </w:pPr>
      <w:r>
        <w:rPr>
          <w:kern w:val="0"/>
          <w:szCs w:val="21"/>
        </w:rPr>
        <w:t>1.学生应获得</w:t>
      </w:r>
      <w:r>
        <w:rPr>
          <w:rFonts w:hint="eastAsia"/>
          <w:kern w:val="0"/>
          <w:szCs w:val="21"/>
          <w:lang w:val="en-US" w:eastAsia="zh-CN"/>
        </w:rPr>
        <w:t>92</w:t>
      </w:r>
      <w:r>
        <w:rPr>
          <w:kern w:val="0"/>
          <w:szCs w:val="21"/>
        </w:rPr>
        <w:t>学分方能毕业，其中：必修课</w:t>
      </w:r>
      <w:r>
        <w:rPr>
          <w:rFonts w:hint="eastAsia"/>
          <w:kern w:val="0"/>
          <w:szCs w:val="21"/>
          <w:lang w:val="en-US" w:eastAsia="zh-CN"/>
        </w:rPr>
        <w:t>37</w:t>
      </w:r>
      <w:r>
        <w:rPr>
          <w:kern w:val="0"/>
          <w:szCs w:val="21"/>
        </w:rPr>
        <w:t>学分、限定选修课</w:t>
      </w:r>
      <w:r>
        <w:rPr>
          <w:rFonts w:hint="eastAsia"/>
          <w:kern w:val="0"/>
          <w:szCs w:val="21"/>
          <w:lang w:val="en-US" w:eastAsia="zh-CN"/>
        </w:rPr>
        <w:t>1</w:t>
      </w:r>
      <w:r>
        <w:rPr>
          <w:kern w:val="0"/>
          <w:szCs w:val="21"/>
        </w:rPr>
        <w:t>6学分、任选课</w:t>
      </w:r>
      <w:r>
        <w:rPr>
          <w:rFonts w:hint="eastAsia"/>
          <w:kern w:val="0"/>
          <w:szCs w:val="21"/>
        </w:rPr>
        <w:t>1</w:t>
      </w:r>
      <w:r>
        <w:rPr>
          <w:rFonts w:hint="eastAsia"/>
          <w:kern w:val="0"/>
          <w:szCs w:val="21"/>
          <w:lang w:val="en-US" w:eastAsia="zh-CN"/>
        </w:rPr>
        <w:t>7</w:t>
      </w:r>
      <w:r>
        <w:rPr>
          <w:kern w:val="0"/>
          <w:szCs w:val="21"/>
        </w:rPr>
        <w:t>学分、综合实践2</w:t>
      </w:r>
      <w:r>
        <w:rPr>
          <w:rFonts w:hint="eastAsia"/>
          <w:kern w:val="0"/>
          <w:szCs w:val="21"/>
          <w:lang w:val="en-US" w:eastAsia="zh-CN"/>
        </w:rPr>
        <w:t>2</w:t>
      </w:r>
      <w:r>
        <w:rPr>
          <w:kern w:val="0"/>
          <w:szCs w:val="21"/>
        </w:rPr>
        <w:t>学分。</w:t>
      </w:r>
    </w:p>
    <w:p>
      <w:pPr>
        <w:spacing w:line="400" w:lineRule="exact"/>
        <w:ind w:firstLine="420" w:firstLineChars="200"/>
        <w:jc w:val="left"/>
        <w:rPr>
          <w:kern w:val="0"/>
          <w:szCs w:val="21"/>
        </w:rPr>
      </w:pPr>
      <w:r>
        <w:rPr>
          <w:kern w:val="0"/>
          <w:szCs w:val="21"/>
        </w:rPr>
        <w:t>2.国家体质健康测试达标。</w:t>
      </w:r>
    </w:p>
    <w:p>
      <w:pPr>
        <w:spacing w:line="400" w:lineRule="exact"/>
        <w:ind w:firstLine="420" w:firstLineChars="200"/>
        <w:jc w:val="left"/>
        <w:rPr>
          <w:kern w:val="0"/>
          <w:szCs w:val="21"/>
        </w:rPr>
      </w:pPr>
      <w:r>
        <w:rPr>
          <w:kern w:val="0"/>
          <w:szCs w:val="21"/>
        </w:rPr>
        <w:t>3.第二课堂学分达4分以上。</w:t>
      </w:r>
    </w:p>
    <w:p>
      <w:pPr>
        <w:spacing w:line="400" w:lineRule="exact"/>
        <w:ind w:firstLine="480" w:firstLineChars="200"/>
        <w:jc w:val="left"/>
        <w:outlineLvl w:val="1"/>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十一、学习期间证书获取建议</w:t>
      </w:r>
    </w:p>
    <w:p>
      <w:pPr>
        <w:spacing w:line="400" w:lineRule="exact"/>
        <w:ind w:firstLine="420" w:firstLineChars="200"/>
        <w:jc w:val="left"/>
        <w:rPr>
          <w:color w:val="000000"/>
          <w:kern w:val="0"/>
          <w:szCs w:val="21"/>
        </w:rPr>
      </w:pPr>
      <w:r>
        <w:rPr>
          <w:color w:val="000000"/>
          <w:kern w:val="0"/>
          <w:szCs w:val="21"/>
        </w:rPr>
        <w:t>1.根据专升本等需要，建议参加英语等级证书和计算机等级证书的考试。</w:t>
      </w:r>
    </w:p>
    <w:p>
      <w:pPr>
        <w:spacing w:line="400" w:lineRule="exact"/>
        <w:ind w:firstLine="420" w:firstLineChars="200"/>
        <w:jc w:val="left"/>
        <w:rPr>
          <w:color w:val="000000"/>
          <w:kern w:val="0"/>
          <w:szCs w:val="21"/>
        </w:rPr>
      </w:pPr>
      <w:r>
        <w:rPr>
          <w:color w:val="000000"/>
          <w:kern w:val="0"/>
          <w:szCs w:val="21"/>
        </w:rPr>
        <w:t>2.建议考取以下职业技能等级证书增强职业竞争力。</w:t>
      </w:r>
    </w:p>
    <w:p>
      <w:pPr>
        <w:pStyle w:val="2"/>
        <w:ind w:firstLine="361" w:firstLineChars="200"/>
        <w:jc w:val="center"/>
        <w:rPr>
          <w:rFonts w:eastAsiaTheme="minorEastAsia"/>
          <w:b/>
          <w:bCs/>
          <w:color w:val="000000"/>
          <w:kern w:val="0"/>
          <w:sz w:val="18"/>
          <w:szCs w:val="18"/>
        </w:rPr>
      </w:pPr>
      <w:r>
        <w:rPr>
          <w:rFonts w:eastAsiaTheme="minorEastAsia"/>
          <w:b/>
          <w:bCs/>
          <w:color w:val="000000"/>
          <w:kern w:val="0"/>
          <w:sz w:val="18"/>
          <w:szCs w:val="18"/>
        </w:rPr>
        <w:t>表12 专业职业资格/技能证书一览表</w:t>
      </w:r>
    </w:p>
    <w:tbl>
      <w:tblPr>
        <w:tblStyle w:val="13"/>
        <w:tblW w:w="0" w:type="auto"/>
        <w:tblInd w:w="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32"/>
        <w:gridCol w:w="2822"/>
        <w:gridCol w:w="860"/>
        <w:gridCol w:w="2564"/>
        <w:gridCol w:w="12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shd w:val="clear" w:color="auto" w:fill="F1F1F1" w:themeFill="background1" w:themeFillShade="F2"/>
          </w:tcPr>
          <w:p>
            <w:pPr>
              <w:jc w:val="center"/>
              <w:rPr>
                <w:color w:val="000000"/>
                <w:sz w:val="18"/>
                <w:szCs w:val="18"/>
              </w:rPr>
            </w:pPr>
            <w:r>
              <w:rPr>
                <w:color w:val="000000"/>
                <w:sz w:val="18"/>
                <w:szCs w:val="18"/>
              </w:rPr>
              <w:t>序号</w:t>
            </w:r>
          </w:p>
        </w:tc>
        <w:tc>
          <w:tcPr>
            <w:tcW w:w="2822" w:type="dxa"/>
            <w:shd w:val="clear" w:color="auto" w:fill="F1F1F1" w:themeFill="background1" w:themeFillShade="F2"/>
          </w:tcPr>
          <w:p>
            <w:pPr>
              <w:jc w:val="center"/>
              <w:rPr>
                <w:color w:val="000000"/>
                <w:sz w:val="18"/>
                <w:szCs w:val="18"/>
              </w:rPr>
            </w:pPr>
            <w:r>
              <w:rPr>
                <w:color w:val="000000"/>
                <w:sz w:val="18"/>
                <w:szCs w:val="18"/>
              </w:rPr>
              <w:t>证书名称</w:t>
            </w:r>
          </w:p>
        </w:tc>
        <w:tc>
          <w:tcPr>
            <w:tcW w:w="860" w:type="dxa"/>
            <w:shd w:val="clear" w:color="auto" w:fill="F1F1F1" w:themeFill="background1" w:themeFillShade="F2"/>
          </w:tcPr>
          <w:p>
            <w:pPr>
              <w:jc w:val="center"/>
              <w:rPr>
                <w:color w:val="000000"/>
                <w:sz w:val="18"/>
                <w:szCs w:val="18"/>
              </w:rPr>
            </w:pPr>
            <w:r>
              <w:rPr>
                <w:color w:val="000000"/>
                <w:sz w:val="18"/>
                <w:szCs w:val="18"/>
              </w:rPr>
              <w:t>级别</w:t>
            </w:r>
          </w:p>
        </w:tc>
        <w:tc>
          <w:tcPr>
            <w:tcW w:w="2564" w:type="dxa"/>
            <w:shd w:val="clear" w:color="auto" w:fill="F1F1F1" w:themeFill="background1" w:themeFillShade="F2"/>
          </w:tcPr>
          <w:p>
            <w:pPr>
              <w:jc w:val="center"/>
              <w:rPr>
                <w:color w:val="000000"/>
                <w:sz w:val="18"/>
                <w:szCs w:val="18"/>
              </w:rPr>
            </w:pPr>
            <w:r>
              <w:rPr>
                <w:color w:val="000000"/>
                <w:sz w:val="18"/>
                <w:szCs w:val="18"/>
              </w:rPr>
              <w:t>颁证机构</w:t>
            </w:r>
          </w:p>
        </w:tc>
        <w:tc>
          <w:tcPr>
            <w:tcW w:w="1227" w:type="dxa"/>
            <w:shd w:val="clear" w:color="auto" w:fill="F1F1F1" w:themeFill="background1" w:themeFillShade="F2"/>
          </w:tcPr>
          <w:p>
            <w:pPr>
              <w:jc w:val="center"/>
              <w:rPr>
                <w:color w:val="000000"/>
                <w:sz w:val="18"/>
                <w:szCs w:val="18"/>
              </w:rPr>
            </w:pPr>
            <w:r>
              <w:rPr>
                <w:color w:val="000000"/>
                <w:sz w:val="18"/>
                <w:szCs w:val="18"/>
              </w:rPr>
              <w:t>获证要求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shd w:val="clear" w:color="auto" w:fill="auto"/>
          </w:tcPr>
          <w:p>
            <w:pPr>
              <w:jc w:val="center"/>
              <w:rPr>
                <w:sz w:val="18"/>
                <w:szCs w:val="18"/>
              </w:rPr>
            </w:pPr>
            <w:r>
              <w:rPr>
                <w:sz w:val="18"/>
                <w:szCs w:val="18"/>
              </w:rPr>
              <w:t>1</w:t>
            </w:r>
          </w:p>
        </w:tc>
        <w:tc>
          <w:tcPr>
            <w:tcW w:w="2822" w:type="dxa"/>
            <w:shd w:val="clear" w:color="auto" w:fill="auto"/>
            <w:vAlign w:val="center"/>
          </w:tcPr>
          <w:p>
            <w:pPr>
              <w:spacing w:line="240" w:lineRule="exact"/>
              <w:jc w:val="center"/>
              <w:rPr>
                <w:rFonts w:ascii="宋体" w:hAnsi="宋体"/>
                <w:sz w:val="18"/>
                <w:szCs w:val="18"/>
              </w:rPr>
            </w:pPr>
            <w:r>
              <w:rPr>
                <w:rFonts w:hint="eastAsia" w:ascii="宋体" w:hAnsi="宋体"/>
                <w:sz w:val="18"/>
                <w:szCs w:val="18"/>
              </w:rPr>
              <w:t>现代物流管理1+X证书</w:t>
            </w:r>
          </w:p>
        </w:tc>
        <w:tc>
          <w:tcPr>
            <w:tcW w:w="860" w:type="dxa"/>
            <w:shd w:val="clear" w:color="auto" w:fill="auto"/>
          </w:tcPr>
          <w:p>
            <w:pPr>
              <w:jc w:val="center"/>
              <w:rPr>
                <w:sz w:val="18"/>
                <w:szCs w:val="18"/>
              </w:rPr>
            </w:pPr>
            <w:r>
              <w:rPr>
                <w:sz w:val="18"/>
                <w:szCs w:val="18"/>
              </w:rPr>
              <w:t>中级</w:t>
            </w:r>
          </w:p>
        </w:tc>
        <w:tc>
          <w:tcPr>
            <w:tcW w:w="2564" w:type="dxa"/>
            <w:shd w:val="clear" w:color="auto" w:fill="auto"/>
          </w:tcPr>
          <w:p>
            <w:pPr>
              <w:rPr>
                <w:sz w:val="18"/>
                <w:szCs w:val="18"/>
              </w:rPr>
            </w:pPr>
            <w:r>
              <w:rPr>
                <w:rFonts w:hint="eastAsia"/>
                <w:sz w:val="18"/>
                <w:szCs w:val="18"/>
              </w:rPr>
              <w:t>中国物流与采购联合会</w:t>
            </w:r>
          </w:p>
        </w:tc>
        <w:tc>
          <w:tcPr>
            <w:tcW w:w="1227" w:type="dxa"/>
            <w:shd w:val="clear" w:color="auto" w:fill="auto"/>
          </w:tcPr>
          <w:p>
            <w:pPr>
              <w:jc w:val="center"/>
              <w:rPr>
                <w:sz w:val="18"/>
                <w:szCs w:val="18"/>
              </w:rPr>
            </w:pPr>
            <w:r>
              <w:rPr>
                <w:sz w:val="18"/>
                <w:szCs w:val="18"/>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shd w:val="clear" w:color="auto" w:fill="auto"/>
          </w:tcPr>
          <w:p>
            <w:pPr>
              <w:jc w:val="center"/>
              <w:rPr>
                <w:sz w:val="18"/>
                <w:szCs w:val="18"/>
              </w:rPr>
            </w:pPr>
            <w:r>
              <w:rPr>
                <w:sz w:val="18"/>
                <w:szCs w:val="18"/>
              </w:rPr>
              <w:t>2</w:t>
            </w:r>
          </w:p>
        </w:tc>
        <w:tc>
          <w:tcPr>
            <w:tcW w:w="2822" w:type="dxa"/>
            <w:shd w:val="clear" w:color="auto" w:fill="auto"/>
            <w:vAlign w:val="center"/>
          </w:tcPr>
          <w:p>
            <w:pPr>
              <w:spacing w:line="240" w:lineRule="exact"/>
              <w:jc w:val="center"/>
              <w:rPr>
                <w:rFonts w:ascii="宋体" w:hAnsi="宋体"/>
                <w:sz w:val="18"/>
                <w:szCs w:val="18"/>
              </w:rPr>
            </w:pPr>
            <w:r>
              <w:rPr>
                <w:rFonts w:hint="eastAsia" w:ascii="宋体" w:hAnsi="宋体"/>
                <w:sz w:val="18"/>
                <w:szCs w:val="18"/>
              </w:rPr>
              <w:t>叉车证</w:t>
            </w:r>
          </w:p>
        </w:tc>
        <w:tc>
          <w:tcPr>
            <w:tcW w:w="860" w:type="dxa"/>
            <w:shd w:val="clear" w:color="auto" w:fill="auto"/>
          </w:tcPr>
          <w:p>
            <w:pPr>
              <w:jc w:val="center"/>
              <w:rPr>
                <w:sz w:val="18"/>
                <w:szCs w:val="18"/>
              </w:rPr>
            </w:pPr>
            <w:r>
              <w:rPr>
                <w:rFonts w:hint="eastAsia"/>
                <w:sz w:val="18"/>
                <w:szCs w:val="18"/>
              </w:rPr>
              <w:t>无</w:t>
            </w:r>
          </w:p>
        </w:tc>
        <w:tc>
          <w:tcPr>
            <w:tcW w:w="2564" w:type="dxa"/>
            <w:shd w:val="clear" w:color="auto" w:fill="auto"/>
          </w:tcPr>
          <w:p>
            <w:pPr>
              <w:rPr>
                <w:sz w:val="18"/>
                <w:szCs w:val="18"/>
              </w:rPr>
            </w:pPr>
            <w:r>
              <w:rPr>
                <w:rFonts w:hint="eastAsia"/>
                <w:sz w:val="18"/>
                <w:szCs w:val="18"/>
              </w:rPr>
              <w:t>湖州市特种设备检测中心</w:t>
            </w:r>
          </w:p>
        </w:tc>
        <w:tc>
          <w:tcPr>
            <w:tcW w:w="1227" w:type="dxa"/>
            <w:shd w:val="clear" w:color="auto" w:fill="auto"/>
          </w:tcPr>
          <w:p>
            <w:pPr>
              <w:jc w:val="center"/>
              <w:rPr>
                <w:sz w:val="18"/>
                <w:szCs w:val="18"/>
              </w:rPr>
            </w:pPr>
            <w:r>
              <w:rPr>
                <w:sz w:val="18"/>
                <w:szCs w:val="18"/>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32" w:type="dxa"/>
            <w:shd w:val="clear" w:color="auto" w:fill="auto"/>
          </w:tcPr>
          <w:p>
            <w:pPr>
              <w:jc w:val="center"/>
              <w:rPr>
                <w:sz w:val="18"/>
                <w:szCs w:val="18"/>
              </w:rPr>
            </w:pPr>
            <w:r>
              <w:rPr>
                <w:sz w:val="18"/>
                <w:szCs w:val="18"/>
              </w:rPr>
              <w:t>3</w:t>
            </w:r>
          </w:p>
        </w:tc>
        <w:tc>
          <w:tcPr>
            <w:tcW w:w="2822" w:type="dxa"/>
            <w:shd w:val="clear" w:color="auto" w:fill="auto"/>
            <w:vAlign w:val="center"/>
          </w:tcPr>
          <w:p>
            <w:pPr>
              <w:spacing w:line="240" w:lineRule="exact"/>
              <w:jc w:val="center"/>
              <w:rPr>
                <w:rFonts w:ascii="宋体" w:hAnsi="宋体"/>
                <w:sz w:val="18"/>
                <w:szCs w:val="18"/>
              </w:rPr>
            </w:pPr>
            <w:r>
              <w:rPr>
                <w:rFonts w:hint="eastAsia" w:ascii="宋体" w:hAnsi="宋体"/>
                <w:sz w:val="18"/>
                <w:szCs w:val="18"/>
              </w:rPr>
              <w:t>条码技术资格证书</w:t>
            </w:r>
          </w:p>
        </w:tc>
        <w:tc>
          <w:tcPr>
            <w:tcW w:w="860" w:type="dxa"/>
            <w:shd w:val="clear" w:color="auto" w:fill="auto"/>
          </w:tcPr>
          <w:p>
            <w:pPr>
              <w:jc w:val="center"/>
              <w:rPr>
                <w:sz w:val="18"/>
                <w:szCs w:val="18"/>
              </w:rPr>
            </w:pPr>
            <w:r>
              <w:rPr>
                <w:rFonts w:hint="eastAsia"/>
                <w:sz w:val="18"/>
                <w:szCs w:val="18"/>
              </w:rPr>
              <w:t>无</w:t>
            </w:r>
          </w:p>
        </w:tc>
        <w:tc>
          <w:tcPr>
            <w:tcW w:w="2564" w:type="dxa"/>
            <w:shd w:val="clear" w:color="auto" w:fill="auto"/>
          </w:tcPr>
          <w:p>
            <w:pPr>
              <w:rPr>
                <w:sz w:val="18"/>
                <w:szCs w:val="18"/>
              </w:rPr>
            </w:pPr>
            <w:r>
              <w:rPr>
                <w:rFonts w:hint="eastAsia"/>
                <w:sz w:val="18"/>
                <w:szCs w:val="18"/>
              </w:rPr>
              <w:t>中国物品编码中心</w:t>
            </w:r>
          </w:p>
        </w:tc>
        <w:tc>
          <w:tcPr>
            <w:tcW w:w="1227" w:type="dxa"/>
            <w:shd w:val="clear" w:color="auto" w:fill="auto"/>
          </w:tcPr>
          <w:p>
            <w:pPr>
              <w:jc w:val="center"/>
              <w:rPr>
                <w:sz w:val="18"/>
                <w:szCs w:val="18"/>
              </w:rPr>
            </w:pPr>
            <w:r>
              <w:rPr>
                <w:sz w:val="18"/>
                <w:szCs w:val="18"/>
              </w:rPr>
              <w:t>可选</w:t>
            </w:r>
          </w:p>
        </w:tc>
      </w:tr>
    </w:tbl>
    <w:p>
      <w:pPr>
        <w:spacing w:line="400" w:lineRule="exact"/>
        <w:ind w:firstLine="420" w:firstLineChars="200"/>
        <w:jc w:val="left"/>
        <w:rPr>
          <w:color w:val="FF0000"/>
        </w:rPr>
      </w:pPr>
      <w:r>
        <w:rPr>
          <w:rFonts w:hint="eastAsia"/>
          <w:color w:val="000000"/>
          <w:kern w:val="0"/>
          <w:szCs w:val="21"/>
        </w:rPr>
        <w:t>3.接续高职本科专业举例：物流管理、工商管理、市场营销；接续普通本科专业举例：物流管理、物流工程、工业工程、企业管理、电子商务、工商管理等。</w:t>
      </w:r>
    </w:p>
    <w:p>
      <w:pPr>
        <w:spacing w:line="400" w:lineRule="exact"/>
        <w:jc w:val="center"/>
        <w:rPr>
          <w:rFonts w:ascii="宋体" w:hAnsi="宋体"/>
        </w:rPr>
      </w:pPr>
    </w:p>
    <w:p>
      <w:pPr>
        <w:spacing w:line="400" w:lineRule="exact"/>
        <w:jc w:val="center"/>
        <w:rPr>
          <w:rFonts w:ascii="宋体" w:hAnsi="宋体"/>
        </w:rPr>
      </w:pPr>
      <w:r>
        <w:rPr>
          <w:rFonts w:hint="eastAsia" w:ascii="宋体" w:hAnsi="宋体"/>
        </w:rPr>
        <w:t xml:space="preserve">                                                  修订：胡晓娜      审核：胡国荣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2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1E628E"/>
    <w:multiLevelType w:val="multilevel"/>
    <w:tmpl w:val="021E628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E9C2B3E"/>
    <w:multiLevelType w:val="multilevel"/>
    <w:tmpl w:val="0E9C2B3E"/>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10FA0A6E"/>
    <w:multiLevelType w:val="multilevel"/>
    <w:tmpl w:val="10FA0A6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2A2473"/>
    <w:multiLevelType w:val="multilevel"/>
    <w:tmpl w:val="152A247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B99028D"/>
    <w:multiLevelType w:val="multilevel"/>
    <w:tmpl w:val="1B99028D"/>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5">
    <w:nsid w:val="4B93174F"/>
    <w:multiLevelType w:val="multilevel"/>
    <w:tmpl w:val="4B93174F"/>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abstractNum w:abstractNumId="6">
    <w:nsid w:val="4F0961C2"/>
    <w:multiLevelType w:val="multilevel"/>
    <w:tmpl w:val="4F0961C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1999F24"/>
    <w:multiLevelType w:val="singleLevel"/>
    <w:tmpl w:val="51999F24"/>
    <w:lvl w:ilvl="0" w:tentative="0">
      <w:start w:val="1"/>
      <w:numFmt w:val="bullet"/>
      <w:lvlText w:val=""/>
      <w:lvlJc w:val="left"/>
      <w:pPr>
        <w:ind w:left="420" w:hanging="420"/>
      </w:pPr>
      <w:rPr>
        <w:rFonts w:hint="default" w:ascii="Wingdings" w:hAnsi="Wingdings"/>
      </w:rPr>
    </w:lvl>
  </w:abstractNum>
  <w:abstractNum w:abstractNumId="8">
    <w:nsid w:val="5893423B"/>
    <w:multiLevelType w:val="multilevel"/>
    <w:tmpl w:val="5893423B"/>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abstractNum w:abstractNumId="9">
    <w:nsid w:val="7F0E229A"/>
    <w:multiLevelType w:val="multilevel"/>
    <w:tmpl w:val="7F0E229A"/>
    <w:lvl w:ilvl="0" w:tentative="0">
      <w:start w:val="1"/>
      <w:numFmt w:val="bullet"/>
      <w:lvlText w:val=""/>
      <w:lvlJc w:val="left"/>
      <w:pPr>
        <w:ind w:left="860" w:hanging="440"/>
      </w:pPr>
      <w:rPr>
        <w:rFonts w:hint="default" w:ascii="Wingdings" w:hAnsi="Wingdings"/>
      </w:rPr>
    </w:lvl>
    <w:lvl w:ilvl="1" w:tentative="0">
      <w:start w:val="1"/>
      <w:numFmt w:val="bullet"/>
      <w:lvlText w:val=""/>
      <w:lvlJc w:val="left"/>
      <w:pPr>
        <w:ind w:left="1300" w:hanging="440"/>
      </w:pPr>
      <w:rPr>
        <w:rFonts w:hint="default" w:ascii="Wingdings" w:hAnsi="Wingdings"/>
      </w:rPr>
    </w:lvl>
    <w:lvl w:ilvl="2" w:tentative="0">
      <w:start w:val="1"/>
      <w:numFmt w:val="bullet"/>
      <w:lvlText w:val=""/>
      <w:lvlJc w:val="left"/>
      <w:pPr>
        <w:ind w:left="1740" w:hanging="440"/>
      </w:pPr>
      <w:rPr>
        <w:rFonts w:hint="default" w:ascii="Wingdings" w:hAnsi="Wingdings"/>
      </w:rPr>
    </w:lvl>
    <w:lvl w:ilvl="3" w:tentative="0">
      <w:start w:val="1"/>
      <w:numFmt w:val="bullet"/>
      <w:lvlText w:val=""/>
      <w:lvlJc w:val="left"/>
      <w:pPr>
        <w:ind w:left="2180" w:hanging="440"/>
      </w:pPr>
      <w:rPr>
        <w:rFonts w:hint="default" w:ascii="Wingdings" w:hAnsi="Wingdings"/>
      </w:rPr>
    </w:lvl>
    <w:lvl w:ilvl="4" w:tentative="0">
      <w:start w:val="1"/>
      <w:numFmt w:val="bullet"/>
      <w:lvlText w:val=""/>
      <w:lvlJc w:val="left"/>
      <w:pPr>
        <w:ind w:left="2620" w:hanging="440"/>
      </w:pPr>
      <w:rPr>
        <w:rFonts w:hint="default" w:ascii="Wingdings" w:hAnsi="Wingdings"/>
      </w:rPr>
    </w:lvl>
    <w:lvl w:ilvl="5" w:tentative="0">
      <w:start w:val="1"/>
      <w:numFmt w:val="bullet"/>
      <w:lvlText w:val=""/>
      <w:lvlJc w:val="left"/>
      <w:pPr>
        <w:ind w:left="3060" w:hanging="440"/>
      </w:pPr>
      <w:rPr>
        <w:rFonts w:hint="default" w:ascii="Wingdings" w:hAnsi="Wingdings"/>
      </w:rPr>
    </w:lvl>
    <w:lvl w:ilvl="6" w:tentative="0">
      <w:start w:val="1"/>
      <w:numFmt w:val="bullet"/>
      <w:lvlText w:val=""/>
      <w:lvlJc w:val="left"/>
      <w:pPr>
        <w:ind w:left="3500" w:hanging="440"/>
      </w:pPr>
      <w:rPr>
        <w:rFonts w:hint="default" w:ascii="Wingdings" w:hAnsi="Wingdings"/>
      </w:rPr>
    </w:lvl>
    <w:lvl w:ilvl="7" w:tentative="0">
      <w:start w:val="1"/>
      <w:numFmt w:val="bullet"/>
      <w:lvlText w:val=""/>
      <w:lvlJc w:val="left"/>
      <w:pPr>
        <w:ind w:left="3940" w:hanging="440"/>
      </w:pPr>
      <w:rPr>
        <w:rFonts w:hint="default" w:ascii="Wingdings" w:hAnsi="Wingdings"/>
      </w:rPr>
    </w:lvl>
    <w:lvl w:ilvl="8" w:tentative="0">
      <w:start w:val="1"/>
      <w:numFmt w:val="bullet"/>
      <w:lvlText w:val=""/>
      <w:lvlJc w:val="left"/>
      <w:pPr>
        <w:ind w:left="4380" w:hanging="440"/>
      </w:pPr>
      <w:rPr>
        <w:rFonts w:hint="default" w:ascii="Wingdings" w:hAnsi="Wingdings"/>
      </w:rPr>
    </w:lvl>
  </w:abstractNum>
  <w:num w:numId="1">
    <w:abstractNumId w:val="1"/>
  </w:num>
  <w:num w:numId="2">
    <w:abstractNumId w:val="4"/>
  </w:num>
  <w:num w:numId="3">
    <w:abstractNumId w:val="7"/>
  </w:num>
  <w:num w:numId="4">
    <w:abstractNumId w:val="5"/>
  </w:num>
  <w:num w:numId="5">
    <w:abstractNumId w:val="9"/>
  </w:num>
  <w:num w:numId="6">
    <w:abstractNumId w:val="8"/>
  </w:num>
  <w:num w:numId="7">
    <w:abstractNumId w:val="6"/>
  </w:num>
  <w:num w:numId="8">
    <w:abstractNumId w:val="0"/>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EwNTM5NzYwMDRjMzkwZTVkZjY2ODkwMGIxNGU0OTUifQ=="/>
  </w:docVars>
  <w:rsids>
    <w:rsidRoot w:val="7C0375B1"/>
    <w:rsid w:val="00010A6C"/>
    <w:rsid w:val="00011D3C"/>
    <w:rsid w:val="00065B33"/>
    <w:rsid w:val="00074DF6"/>
    <w:rsid w:val="000A0386"/>
    <w:rsid w:val="000A5097"/>
    <w:rsid w:val="000D5156"/>
    <w:rsid w:val="000F0C2C"/>
    <w:rsid w:val="00105BD7"/>
    <w:rsid w:val="001411F4"/>
    <w:rsid w:val="00145943"/>
    <w:rsid w:val="00152220"/>
    <w:rsid w:val="00157E9C"/>
    <w:rsid w:val="0016690E"/>
    <w:rsid w:val="001E162E"/>
    <w:rsid w:val="00213B2A"/>
    <w:rsid w:val="00215FD5"/>
    <w:rsid w:val="00231907"/>
    <w:rsid w:val="00240BEE"/>
    <w:rsid w:val="00254F71"/>
    <w:rsid w:val="002B3F0F"/>
    <w:rsid w:val="002D1D12"/>
    <w:rsid w:val="002D7550"/>
    <w:rsid w:val="00301F46"/>
    <w:rsid w:val="00303FE8"/>
    <w:rsid w:val="00316898"/>
    <w:rsid w:val="0038034F"/>
    <w:rsid w:val="00392910"/>
    <w:rsid w:val="00396DAD"/>
    <w:rsid w:val="003D72F3"/>
    <w:rsid w:val="00415585"/>
    <w:rsid w:val="00423372"/>
    <w:rsid w:val="004673A1"/>
    <w:rsid w:val="0047228D"/>
    <w:rsid w:val="004B44E6"/>
    <w:rsid w:val="004E0612"/>
    <w:rsid w:val="005453FA"/>
    <w:rsid w:val="005508DD"/>
    <w:rsid w:val="005760B2"/>
    <w:rsid w:val="005B50F1"/>
    <w:rsid w:val="005C148D"/>
    <w:rsid w:val="005D0BEB"/>
    <w:rsid w:val="005E25CB"/>
    <w:rsid w:val="005E3DA3"/>
    <w:rsid w:val="00604034"/>
    <w:rsid w:val="006216A6"/>
    <w:rsid w:val="00663888"/>
    <w:rsid w:val="00747417"/>
    <w:rsid w:val="0076149C"/>
    <w:rsid w:val="007B13B0"/>
    <w:rsid w:val="007B7A49"/>
    <w:rsid w:val="007C751C"/>
    <w:rsid w:val="007E3FCC"/>
    <w:rsid w:val="007F2A7D"/>
    <w:rsid w:val="007F625F"/>
    <w:rsid w:val="00806385"/>
    <w:rsid w:val="008106AC"/>
    <w:rsid w:val="00816B78"/>
    <w:rsid w:val="00871EE6"/>
    <w:rsid w:val="00885868"/>
    <w:rsid w:val="008B6E1F"/>
    <w:rsid w:val="008E4BA4"/>
    <w:rsid w:val="008F72BE"/>
    <w:rsid w:val="0090443C"/>
    <w:rsid w:val="00990CF5"/>
    <w:rsid w:val="009A2D47"/>
    <w:rsid w:val="009B34E1"/>
    <w:rsid w:val="009B4568"/>
    <w:rsid w:val="009D01B2"/>
    <w:rsid w:val="009E0C90"/>
    <w:rsid w:val="00A70EEA"/>
    <w:rsid w:val="00AA3D11"/>
    <w:rsid w:val="00AB7C34"/>
    <w:rsid w:val="00AD434F"/>
    <w:rsid w:val="00AE1F07"/>
    <w:rsid w:val="00B10E2F"/>
    <w:rsid w:val="00B316A8"/>
    <w:rsid w:val="00B94D94"/>
    <w:rsid w:val="00BC2697"/>
    <w:rsid w:val="00C406B3"/>
    <w:rsid w:val="00C51BFC"/>
    <w:rsid w:val="00C75D6B"/>
    <w:rsid w:val="00CE0133"/>
    <w:rsid w:val="00D017C0"/>
    <w:rsid w:val="00D133FC"/>
    <w:rsid w:val="00D503F3"/>
    <w:rsid w:val="00D60A0B"/>
    <w:rsid w:val="00DA66D5"/>
    <w:rsid w:val="00DB2C27"/>
    <w:rsid w:val="00DE12E3"/>
    <w:rsid w:val="00DF2FC4"/>
    <w:rsid w:val="00E01A1D"/>
    <w:rsid w:val="00E227DC"/>
    <w:rsid w:val="00E30698"/>
    <w:rsid w:val="00E54A8E"/>
    <w:rsid w:val="00E700E9"/>
    <w:rsid w:val="00EA1256"/>
    <w:rsid w:val="00EC5074"/>
    <w:rsid w:val="00ED15B8"/>
    <w:rsid w:val="00ED1C81"/>
    <w:rsid w:val="00F17AD8"/>
    <w:rsid w:val="00F2057D"/>
    <w:rsid w:val="00F3460E"/>
    <w:rsid w:val="083F5E16"/>
    <w:rsid w:val="16066B5C"/>
    <w:rsid w:val="1AE502F6"/>
    <w:rsid w:val="21030307"/>
    <w:rsid w:val="25B6789C"/>
    <w:rsid w:val="26FA3630"/>
    <w:rsid w:val="2BD90A61"/>
    <w:rsid w:val="2E136BED"/>
    <w:rsid w:val="37852457"/>
    <w:rsid w:val="38BA13BD"/>
    <w:rsid w:val="3D0D4BC8"/>
    <w:rsid w:val="40016F43"/>
    <w:rsid w:val="49A403EE"/>
    <w:rsid w:val="4E723D9D"/>
    <w:rsid w:val="5749347C"/>
    <w:rsid w:val="57FE63C3"/>
    <w:rsid w:val="64D70856"/>
    <w:rsid w:val="69590C18"/>
    <w:rsid w:val="6A487C8E"/>
    <w:rsid w:val="77FC3787"/>
    <w:rsid w:val="78834ABF"/>
    <w:rsid w:val="78D96747"/>
    <w:rsid w:val="791A05A5"/>
    <w:rsid w:val="7C0375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qFormat="1" w:uiPriority="99"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6" w:lineRule="auto"/>
      <w:jc w:val="left"/>
      <w:outlineLvl w:val="0"/>
    </w:pPr>
    <w:rPr>
      <w:rFonts w:asciiTheme="minorHAnsi" w:hAnsiTheme="minorHAnsi"/>
      <w:kern w:val="44"/>
      <w:sz w:val="24"/>
    </w:rPr>
  </w:style>
  <w:style w:type="paragraph" w:styleId="4">
    <w:name w:val="heading 2"/>
    <w:basedOn w:val="1"/>
    <w:next w:val="1"/>
    <w:link w:val="24"/>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0"/>
  </w:style>
  <w:style w:type="paragraph" w:styleId="5">
    <w:name w:val="caption"/>
    <w:basedOn w:val="1"/>
    <w:next w:val="1"/>
    <w:unhideWhenUsed/>
    <w:qFormat/>
    <w:uiPriority w:val="35"/>
    <w:rPr>
      <w:rFonts w:ascii="Cambria" w:hAnsi="Cambria" w:eastAsia="黑体"/>
      <w:sz w:val="20"/>
      <w:szCs w:val="20"/>
    </w:rPr>
  </w:style>
  <w:style w:type="paragraph" w:styleId="6">
    <w:name w:val="annotation text"/>
    <w:basedOn w:val="1"/>
    <w:link w:val="21"/>
    <w:unhideWhenUsed/>
    <w:qFormat/>
    <w:uiPriority w:val="0"/>
    <w:pPr>
      <w:jc w:val="left"/>
    </w:pPr>
  </w:style>
  <w:style w:type="paragraph" w:styleId="7">
    <w:name w:val="Body Text"/>
    <w:basedOn w:val="1"/>
    <w:qFormat/>
    <w:uiPriority w:val="1"/>
    <w:rPr>
      <w:rFonts w:ascii="宋体" w:hAnsi="宋体" w:cs="宋体"/>
      <w:sz w:val="18"/>
      <w:szCs w:val="18"/>
      <w:lang w:val="zh-CN" w:bidi="zh-CN"/>
    </w:rPr>
  </w:style>
  <w:style w:type="paragraph" w:styleId="8">
    <w:name w:val="Balloon Text"/>
    <w:basedOn w:val="1"/>
    <w:link w:val="23"/>
    <w:semiHidden/>
    <w:unhideWhenUsed/>
    <w:qFormat/>
    <w:uiPriority w:val="0"/>
    <w:rPr>
      <w:sz w:val="18"/>
      <w:szCs w:val="18"/>
    </w:rPr>
  </w:style>
  <w:style w:type="paragraph" w:styleId="9">
    <w:name w:val="footer"/>
    <w:basedOn w:val="1"/>
    <w:link w:val="19"/>
    <w:qFormat/>
    <w:uiPriority w:val="0"/>
    <w:pPr>
      <w:tabs>
        <w:tab w:val="center" w:pos="4153"/>
        <w:tab w:val="right" w:pos="8306"/>
      </w:tabs>
      <w:snapToGrid w:val="0"/>
      <w:jc w:val="left"/>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semiHidden/>
    <w:unhideWhenUsed/>
    <w:qFormat/>
    <w:uiPriority w:val="99"/>
    <w:pPr>
      <w:snapToGrid w:val="0"/>
      <w:jc w:val="left"/>
    </w:pPr>
    <w:rPr>
      <w:sz w:val="18"/>
    </w:rPr>
  </w:style>
  <w:style w:type="paragraph" w:styleId="12">
    <w:name w:val="annotation subject"/>
    <w:basedOn w:val="6"/>
    <w:next w:val="6"/>
    <w:link w:val="22"/>
    <w:semiHidden/>
    <w:unhideWhenUsed/>
    <w:qFormat/>
    <w:uiPriority w:val="0"/>
    <w:rPr>
      <w:b/>
      <w:bCs/>
    </w:rPr>
  </w:style>
  <w:style w:type="character" w:styleId="15">
    <w:name w:val="annotation reference"/>
    <w:basedOn w:val="14"/>
    <w:semiHidden/>
    <w:unhideWhenUsed/>
    <w:qFormat/>
    <w:uiPriority w:val="0"/>
    <w:rPr>
      <w:sz w:val="21"/>
      <w:szCs w:val="21"/>
    </w:rPr>
  </w:style>
  <w:style w:type="character" w:styleId="16">
    <w:name w:val="footnote reference"/>
    <w:semiHidden/>
    <w:unhideWhenUsed/>
    <w:qFormat/>
    <w:uiPriority w:val="99"/>
    <w:rPr>
      <w:vertAlign w:val="superscript"/>
    </w:rPr>
  </w:style>
  <w:style w:type="paragraph" w:styleId="17">
    <w:name w:val="List Paragraph"/>
    <w:basedOn w:val="1"/>
    <w:qFormat/>
    <w:uiPriority w:val="99"/>
    <w:pPr>
      <w:ind w:firstLine="420" w:firstLineChars="200"/>
    </w:pPr>
  </w:style>
  <w:style w:type="character" w:customStyle="1" w:styleId="18">
    <w:name w:val="页眉 字符"/>
    <w:basedOn w:val="14"/>
    <w:link w:val="10"/>
    <w:qFormat/>
    <w:uiPriority w:val="0"/>
    <w:rPr>
      <w:rFonts w:ascii="Times New Roman" w:hAnsi="Times New Roman" w:eastAsia="宋体" w:cs="Times New Roman"/>
      <w:kern w:val="2"/>
      <w:sz w:val="18"/>
      <w:szCs w:val="18"/>
    </w:rPr>
  </w:style>
  <w:style w:type="character" w:customStyle="1" w:styleId="19">
    <w:name w:val="页脚 字符"/>
    <w:basedOn w:val="14"/>
    <w:link w:val="9"/>
    <w:qFormat/>
    <w:uiPriority w:val="0"/>
    <w:rPr>
      <w:rFonts w:ascii="Times New Roman" w:hAnsi="Times New Roman" w:eastAsia="宋体" w:cs="Times New Roman"/>
      <w:kern w:val="2"/>
      <w:sz w:val="18"/>
      <w:szCs w:val="18"/>
    </w:rPr>
  </w:style>
  <w:style w:type="paragraph" w:customStyle="1" w:styleId="20">
    <w:name w:val="修订1"/>
    <w:hidden/>
    <w:semiHidden/>
    <w:qFormat/>
    <w:uiPriority w:val="99"/>
    <w:rPr>
      <w:rFonts w:ascii="Times New Roman" w:hAnsi="Times New Roman" w:eastAsia="宋体" w:cs="Times New Roman"/>
      <w:kern w:val="2"/>
      <w:sz w:val="21"/>
      <w:szCs w:val="22"/>
      <w:lang w:val="en-US" w:eastAsia="zh-CN" w:bidi="ar-SA"/>
    </w:rPr>
  </w:style>
  <w:style w:type="character" w:customStyle="1" w:styleId="21">
    <w:name w:val="批注文字 字符"/>
    <w:basedOn w:val="14"/>
    <w:link w:val="6"/>
    <w:qFormat/>
    <w:uiPriority w:val="0"/>
    <w:rPr>
      <w:rFonts w:ascii="Times New Roman" w:hAnsi="Times New Roman" w:eastAsia="宋体" w:cs="Times New Roman"/>
      <w:kern w:val="2"/>
      <w:sz w:val="21"/>
      <w:szCs w:val="22"/>
    </w:rPr>
  </w:style>
  <w:style w:type="character" w:customStyle="1" w:styleId="22">
    <w:name w:val="批注主题 字符"/>
    <w:basedOn w:val="21"/>
    <w:link w:val="12"/>
    <w:semiHidden/>
    <w:qFormat/>
    <w:uiPriority w:val="0"/>
    <w:rPr>
      <w:rFonts w:ascii="Times New Roman" w:hAnsi="Times New Roman" w:eastAsia="宋体" w:cs="Times New Roman"/>
      <w:b/>
      <w:bCs/>
      <w:kern w:val="2"/>
      <w:sz w:val="21"/>
      <w:szCs w:val="22"/>
    </w:rPr>
  </w:style>
  <w:style w:type="character" w:customStyle="1" w:styleId="23">
    <w:name w:val="批注框文本 字符"/>
    <w:basedOn w:val="14"/>
    <w:link w:val="8"/>
    <w:semiHidden/>
    <w:qFormat/>
    <w:uiPriority w:val="0"/>
    <w:rPr>
      <w:rFonts w:ascii="Times New Roman" w:hAnsi="Times New Roman" w:eastAsia="宋体" w:cs="Times New Roman"/>
      <w:kern w:val="2"/>
      <w:sz w:val="18"/>
      <w:szCs w:val="18"/>
    </w:rPr>
  </w:style>
  <w:style w:type="character" w:customStyle="1" w:styleId="24">
    <w:name w:val="标题 2 字符"/>
    <w:basedOn w:val="14"/>
    <w:link w:val="4"/>
    <w:qFormat/>
    <w:uiPriority w:val="0"/>
    <w:rPr>
      <w:rFonts w:ascii="Arial" w:hAnsi="Arial" w:eastAsia="黑体" w:cs="Times New Roman"/>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上海海事大学</Company>
  <Pages>12</Pages>
  <Words>10684</Words>
  <Characters>11023</Characters>
  <Lines>104</Lines>
  <Paragraphs>29</Paragraphs>
  <TotalTime>48</TotalTime>
  <ScaleCrop>false</ScaleCrop>
  <LinksUpToDate>false</LinksUpToDate>
  <CharactersWithSpaces>11087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2023-05-12T02:41:00Z</dcterms:created>
  <dc:creator>钟云平</dc:creator>
  <cp:lastModifiedBy>晓娜</cp:lastModifiedBy>
  <dcterms:modified xsi:type="dcterms:W3CDTF">2024-07-16T05:53:46Z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2EBBD5F222864CC799955C7D1295B927_11</vt:lpwstr>
  </property>
</Properties>
</file>